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670" w:rsidRDefault="005D0670" w:rsidP="005D0670">
      <w:pPr>
        <w:pStyle w:val="Heading1"/>
      </w:pPr>
      <w:r>
        <w:t>Income Protection Plan Available</w:t>
      </w:r>
    </w:p>
    <w:p w:rsidR="005D0670" w:rsidRPr="0075780D" w:rsidRDefault="005D0670" w:rsidP="005D0670">
      <w:r>
        <w:t>This document highlights</w:t>
      </w:r>
      <w:r w:rsidRPr="0075780D">
        <w:t xml:space="preserve"> and compare</w:t>
      </w:r>
      <w:r>
        <w:t>s</w:t>
      </w:r>
      <w:r w:rsidRPr="0075780D">
        <w:t xml:space="preserve"> benefits current</w:t>
      </w:r>
      <w:r>
        <w:t>ly</w:t>
      </w:r>
      <w:r w:rsidRPr="0075780D">
        <w:t xml:space="preserve"> available to an employer to help supplement an individual employee</w:t>
      </w:r>
      <w:r>
        <w:t>’</w:t>
      </w:r>
      <w:r w:rsidRPr="0075780D">
        <w:t xml:space="preserve">s income </w:t>
      </w:r>
      <w:r>
        <w:t>during a time of leave</w:t>
      </w:r>
      <w:r w:rsidRPr="0075780D">
        <w:t>.</w:t>
      </w:r>
      <w:r>
        <w:t xml:space="preserve"> </w:t>
      </w:r>
      <w:r w:rsidRPr="0075780D">
        <w:t>There are four different forms of income protection available.</w:t>
      </w:r>
    </w:p>
    <w:p w:rsidR="005D0670" w:rsidRPr="0075780D" w:rsidRDefault="005D0670" w:rsidP="005D0670">
      <w:pPr>
        <w:pStyle w:val="Heading3"/>
      </w:pPr>
      <w:r w:rsidRPr="0075780D">
        <w:t>Sickness/</w:t>
      </w:r>
      <w:r>
        <w:t>Personal</w:t>
      </w:r>
      <w:r w:rsidRPr="0075780D">
        <w:t xml:space="preserve"> Days</w:t>
      </w:r>
    </w:p>
    <w:p w:rsidR="005D0670" w:rsidRPr="0075780D" w:rsidRDefault="005D0670" w:rsidP="005D0670">
      <w:r w:rsidRPr="0075780D">
        <w:t xml:space="preserve">Some businesses offer a sick/family day program where employees are allotted </w:t>
      </w:r>
      <w:r>
        <w:t xml:space="preserve">a pre-defined number of </w:t>
      </w:r>
      <w:r w:rsidRPr="0075780D">
        <w:t>sick</w:t>
      </w:r>
      <w:r>
        <w:t>/personal</w:t>
      </w:r>
      <w:r w:rsidRPr="0075780D">
        <w:t xml:space="preserve"> days per year, which can be accumulated to offset an employee’s income during a</w:t>
      </w:r>
      <w:r>
        <w:t>ny</w:t>
      </w:r>
      <w:r w:rsidRPr="0075780D">
        <w:t xml:space="preserve"> time of leave.</w:t>
      </w:r>
    </w:p>
    <w:p w:rsidR="005D0670" w:rsidRPr="0075780D" w:rsidRDefault="005D0670" w:rsidP="005D0670">
      <w:pPr>
        <w:pStyle w:val="Heading3"/>
      </w:pPr>
      <w:r w:rsidRPr="0075780D">
        <w:t>Employment Insurance</w:t>
      </w:r>
    </w:p>
    <w:p w:rsidR="005D0670" w:rsidRPr="0075780D" w:rsidRDefault="005D0670" w:rsidP="005D0670">
      <w:r w:rsidRPr="0075780D">
        <w:t>In the absence of a sick/</w:t>
      </w:r>
      <w:r>
        <w:t>personal</w:t>
      </w:r>
      <w:r w:rsidRPr="0075780D">
        <w:t xml:space="preserve"> day program employees are eligible to apply for Employment Insurance (EI) benefits which provide a maximum of 15 weeks of paid leave.</w:t>
      </w:r>
      <w:r>
        <w:t xml:space="preserve"> </w:t>
      </w:r>
      <w:r w:rsidRPr="0075780D">
        <w:t>The benefits received by the employee are considered taxable income, and the benefit they receive is equal to 55% of their average weekly earnings up to a maximum benefit of $543 per week (based on 2018 results).</w:t>
      </w:r>
      <w:r>
        <w:t xml:space="preserve"> </w:t>
      </w:r>
      <w:r w:rsidRPr="0075780D">
        <w:t xml:space="preserve">If there is a short term disability policy in place, then E.I. will consider </w:t>
      </w:r>
      <w:r>
        <w:t>a private plan as 1</w:t>
      </w:r>
      <w:r w:rsidRPr="0075780D">
        <w:rPr>
          <w:vertAlign w:val="superscript"/>
        </w:rPr>
        <w:t>st</w:t>
      </w:r>
      <w:r>
        <w:t xml:space="preserve"> payer; </w:t>
      </w:r>
      <w:r w:rsidRPr="0075780D">
        <w:t>and will only pay in the absence of a short term disability payment.</w:t>
      </w:r>
    </w:p>
    <w:p w:rsidR="005D0670" w:rsidRPr="0075780D" w:rsidRDefault="005D0670" w:rsidP="005D0670">
      <w:pPr>
        <w:pStyle w:val="Heading3"/>
      </w:pPr>
      <w:r w:rsidRPr="0075780D">
        <w:t>Short Term Disability Insurance</w:t>
      </w:r>
    </w:p>
    <w:p w:rsidR="005D0670" w:rsidRDefault="005D0670" w:rsidP="005D0670">
      <w:r w:rsidRPr="0075780D">
        <w:t>In the absence of a sick/family day program employers can purchase additional group insurance which can provide up to a maximum of 75% of an employee’s gross weekly income.</w:t>
      </w:r>
      <w:r>
        <w:t xml:space="preserve"> </w:t>
      </w:r>
      <w:r w:rsidRPr="0075780D">
        <w:t>With a short term disability plan it only provides coverage for leaves of absence related to illness or injury.</w:t>
      </w:r>
      <w:r>
        <w:t xml:space="preserve"> </w:t>
      </w:r>
      <w:r w:rsidRPr="0075780D">
        <w:t>Also,</w:t>
      </w:r>
      <w:r w:rsidRPr="0075780D">
        <w:t xml:space="preserve"> if a </w:t>
      </w:r>
      <w:proofErr w:type="gramStart"/>
      <w:r w:rsidRPr="0075780D">
        <w:t>short term</w:t>
      </w:r>
      <w:proofErr w:type="gramEnd"/>
      <w:r w:rsidRPr="0075780D">
        <w:t xml:space="preserve"> disability policy is in effect, the private insurance becomes 1</w:t>
      </w:r>
      <w:r w:rsidRPr="0075780D">
        <w:rPr>
          <w:vertAlign w:val="superscript"/>
        </w:rPr>
        <w:t>st</w:t>
      </w:r>
      <w:r w:rsidRPr="0075780D">
        <w:t xml:space="preserve"> payor and it cannot be used to top up EI.</w:t>
      </w:r>
      <w:r>
        <w:t xml:space="preserve"> </w:t>
      </w:r>
    </w:p>
    <w:p w:rsidR="005D0670" w:rsidRPr="0075780D" w:rsidRDefault="005D0670" w:rsidP="005D0670">
      <w:r w:rsidRPr="0075780D">
        <w:t xml:space="preserve">If there is short term disability insurance in place, which covers at least the same level of protection that E.I. covers, </w:t>
      </w:r>
      <w:r>
        <w:t>an</w:t>
      </w:r>
      <w:r w:rsidRPr="0075780D">
        <w:t xml:space="preserve"> employer can apply for a reduction in their E.I. premiums.</w:t>
      </w:r>
      <w:r>
        <w:t xml:space="preserve"> </w:t>
      </w:r>
      <w:r w:rsidRPr="0075780D">
        <w:t>Instead of employer contributions being 1.4 times that of their employee’s contributions, they could qualify to have that multiple lowered to 1.163.</w:t>
      </w:r>
      <w:r>
        <w:t xml:space="preserve"> </w:t>
      </w:r>
      <w:r w:rsidRPr="0075780D">
        <w:t>(Note:</w:t>
      </w:r>
      <w:r>
        <w:t xml:space="preserve"> </w:t>
      </w:r>
      <w:r w:rsidRPr="0075780D">
        <w:t xml:space="preserve">The government expects </w:t>
      </w:r>
      <w:r w:rsidRPr="0075780D">
        <w:t>employers</w:t>
      </w:r>
      <w:r w:rsidRPr="0075780D">
        <w:t xml:space="preserve"> to use those savings for </w:t>
      </w:r>
      <w:proofErr w:type="gramStart"/>
      <w:r w:rsidRPr="0075780D">
        <w:t>employees, and</w:t>
      </w:r>
      <w:proofErr w:type="gramEnd"/>
      <w:r w:rsidRPr="0075780D">
        <w:t xml:space="preserve"> is not intended to just offset operating costs.)</w:t>
      </w:r>
    </w:p>
    <w:p w:rsidR="005D0670" w:rsidRPr="0075780D" w:rsidRDefault="005D0670" w:rsidP="005D0670">
      <w:pPr>
        <w:pStyle w:val="Heading3"/>
      </w:pPr>
      <w:r w:rsidRPr="0075780D">
        <w:t>Supplementary Unemployment Benefit Plans</w:t>
      </w:r>
      <w:r>
        <w:t xml:space="preserve"> (SUB Plan)</w:t>
      </w:r>
    </w:p>
    <w:p w:rsidR="005D0670" w:rsidRPr="0075780D" w:rsidRDefault="005D0670" w:rsidP="005D0670">
      <w:pPr>
        <w:rPr>
          <w:lang w:eastAsia="en-CA"/>
        </w:rPr>
      </w:pPr>
      <w:r w:rsidRPr="0075780D">
        <w:rPr>
          <w:lang w:eastAsia="en-CA"/>
        </w:rPr>
        <w:t>Employers can use a Supplemental Unemployment Benefit (SUB) plan to increase their employees’ weekly earnings when they are unemployed due to a temporary stoppage of work, training, illness, injury or quarantine, and can be implemented to top up Sick Days, Employment Insurance and/or Short Term Disability plans.</w:t>
      </w:r>
    </w:p>
    <w:p w:rsidR="005D0670" w:rsidRPr="0075780D" w:rsidRDefault="005D0670" w:rsidP="005D0670">
      <w:pPr>
        <w:rPr>
          <w:b/>
          <w:bCs/>
          <w:lang w:eastAsia="en-CA"/>
        </w:rPr>
      </w:pPr>
      <w:r w:rsidRPr="0075780D">
        <w:rPr>
          <w:lang w:eastAsia="en-CA"/>
        </w:rPr>
        <w:t>Payments from SUB plans </w:t>
      </w:r>
      <w:r w:rsidRPr="0075780D">
        <w:rPr>
          <w:b/>
          <w:bCs/>
          <w:lang w:eastAsia="en-CA"/>
        </w:rPr>
        <w:t>that are registered with Service Canada</w:t>
      </w:r>
      <w:r w:rsidRPr="0075780D">
        <w:rPr>
          <w:lang w:eastAsia="en-CA"/>
        </w:rPr>
        <w:t> are not considered as earnings and are not deducted from EI benefits (pursuant to </w:t>
      </w:r>
      <w:hyperlink r:id="rId7" w:anchor="docCont" w:history="1">
        <w:r w:rsidRPr="0075780D">
          <w:rPr>
            <w:color w:val="7834BC"/>
            <w:u w:val="single"/>
            <w:lang w:eastAsia="en-CA"/>
          </w:rPr>
          <w:t>subsection</w:t>
        </w:r>
        <w:bookmarkStart w:id="0" w:name="_GoBack"/>
        <w:bookmarkEnd w:id="0"/>
        <w:r w:rsidRPr="0075780D">
          <w:rPr>
            <w:color w:val="7834BC"/>
            <w:u w:val="single"/>
            <w:lang w:eastAsia="en-CA"/>
          </w:rPr>
          <w:t xml:space="preserve"> </w:t>
        </w:r>
        <w:r w:rsidRPr="0075780D">
          <w:rPr>
            <w:color w:val="7834BC"/>
            <w:u w:val="single"/>
            <w:lang w:eastAsia="en-CA"/>
          </w:rPr>
          <w:t>37(1)</w:t>
        </w:r>
      </w:hyperlink>
      <w:r w:rsidRPr="0075780D">
        <w:rPr>
          <w:lang w:eastAsia="en-CA"/>
        </w:rPr>
        <w:t> of the EI Regulations).</w:t>
      </w:r>
    </w:p>
    <w:p w:rsidR="005D0670" w:rsidRPr="0075780D" w:rsidRDefault="005D0670" w:rsidP="005D0670">
      <w:pPr>
        <w:rPr>
          <w:lang w:eastAsia="en-CA"/>
        </w:rPr>
      </w:pPr>
      <w:r w:rsidRPr="0075780D">
        <w:rPr>
          <w:lang w:eastAsia="en-CA"/>
        </w:rPr>
        <w:lastRenderedPageBreak/>
        <w:t>SUB plans are registered by Service Canada through the SUB program in Bathurst, N.B. Plans must be registered before their effective date. Officers from the SUB program assess employers' SUB plans against the requirements set out in </w:t>
      </w:r>
      <w:hyperlink r:id="rId8" w:anchor="docCont" w:history="1">
        <w:r w:rsidRPr="0075780D">
          <w:rPr>
            <w:color w:val="7834BC"/>
            <w:u w:val="single"/>
            <w:lang w:eastAsia="en-CA"/>
          </w:rPr>
          <w:t>subsectio</w:t>
        </w:r>
        <w:r w:rsidRPr="0075780D">
          <w:rPr>
            <w:color w:val="7834BC"/>
            <w:u w:val="single"/>
            <w:lang w:eastAsia="en-CA"/>
          </w:rPr>
          <w:t>n</w:t>
        </w:r>
        <w:r w:rsidRPr="0075780D">
          <w:rPr>
            <w:color w:val="7834BC"/>
            <w:u w:val="single"/>
            <w:lang w:eastAsia="en-CA"/>
          </w:rPr>
          <w:t xml:space="preserve"> 37(2)</w:t>
        </w:r>
      </w:hyperlink>
      <w:r w:rsidRPr="0075780D">
        <w:rPr>
          <w:lang w:eastAsia="en-CA"/>
        </w:rPr>
        <w:t> of the EI Regulations. SUB program Officers also help employers develop SUB plans that meet the requirements of the EI Regulations.</w:t>
      </w:r>
    </w:p>
    <w:p w:rsidR="005D0670" w:rsidRPr="005D0670" w:rsidRDefault="005D0670" w:rsidP="005D0670">
      <w:pPr>
        <w:pStyle w:val="Heading4"/>
        <w:spacing w:before="0" w:after="120"/>
        <w:rPr>
          <w:rFonts w:eastAsia="Times New Roman"/>
          <w:lang w:eastAsia="en-CA"/>
        </w:rPr>
      </w:pPr>
      <w:r w:rsidRPr="0075780D">
        <w:rPr>
          <w:rFonts w:eastAsia="Times New Roman"/>
          <w:lang w:eastAsia="en-CA"/>
        </w:rPr>
        <w:t>An acceptable plan is one that:</w:t>
      </w:r>
    </w:p>
    <w:p w:rsidR="005D0670" w:rsidRPr="0075780D" w:rsidRDefault="005D0670" w:rsidP="00FC39E9">
      <w:pPr>
        <w:pStyle w:val="ListParagraph"/>
        <w:numPr>
          <w:ilvl w:val="0"/>
          <w:numId w:val="10"/>
        </w:numPr>
        <w:spacing w:after="120"/>
        <w:ind w:left="714" w:hanging="357"/>
        <w:contextualSpacing w:val="0"/>
        <w:rPr>
          <w:lang w:eastAsia="en-CA"/>
        </w:rPr>
      </w:pPr>
      <w:r w:rsidRPr="0075780D">
        <w:rPr>
          <w:lang w:eastAsia="en-CA"/>
        </w:rPr>
        <w:t>identifies the group of employees covered and the duration of the plan</w:t>
      </w:r>
    </w:p>
    <w:p w:rsidR="005D0670" w:rsidRPr="0075780D" w:rsidRDefault="005D0670" w:rsidP="00FC39E9">
      <w:pPr>
        <w:pStyle w:val="ListParagraph"/>
        <w:numPr>
          <w:ilvl w:val="0"/>
          <w:numId w:val="10"/>
        </w:numPr>
        <w:spacing w:after="120"/>
        <w:ind w:left="714" w:hanging="357"/>
        <w:contextualSpacing w:val="0"/>
        <w:rPr>
          <w:lang w:eastAsia="en-CA"/>
        </w:rPr>
      </w:pPr>
      <w:r w:rsidRPr="0075780D">
        <w:rPr>
          <w:lang w:eastAsia="en-CA"/>
        </w:rPr>
        <w:t>covers a period of unemployment caused by one or a combination of the following: temporary stoppage of work, training, illness, injury or quarantine</w:t>
      </w:r>
    </w:p>
    <w:p w:rsidR="005D0670" w:rsidRPr="0075780D" w:rsidRDefault="005D0670" w:rsidP="00FC39E9">
      <w:pPr>
        <w:pStyle w:val="ListParagraph"/>
        <w:numPr>
          <w:ilvl w:val="0"/>
          <w:numId w:val="10"/>
        </w:numPr>
        <w:spacing w:after="120"/>
        <w:ind w:left="714" w:hanging="357"/>
        <w:contextualSpacing w:val="0"/>
        <w:rPr>
          <w:lang w:eastAsia="en-CA"/>
        </w:rPr>
      </w:pPr>
      <w:r w:rsidRPr="0075780D">
        <w:rPr>
          <w:lang w:eastAsia="en-CA"/>
        </w:rPr>
        <w:t>requires employees to apply for and be in receipt of EI benefits in order to receive payments under the plan</w:t>
      </w:r>
    </w:p>
    <w:p w:rsidR="005D0670" w:rsidRPr="0075780D" w:rsidRDefault="005D0670" w:rsidP="00FC39E9">
      <w:pPr>
        <w:pStyle w:val="ListParagraph"/>
        <w:numPr>
          <w:ilvl w:val="0"/>
          <w:numId w:val="10"/>
        </w:numPr>
        <w:spacing w:after="120"/>
        <w:ind w:left="714" w:hanging="357"/>
        <w:contextualSpacing w:val="0"/>
        <w:rPr>
          <w:lang w:eastAsia="en-CA"/>
        </w:rPr>
      </w:pPr>
      <w:r w:rsidRPr="0075780D">
        <w:rPr>
          <w:lang w:eastAsia="en-CA"/>
        </w:rPr>
        <w:t>requires that the combined weekly payments from the plan and the portion of the weekly benefit rate does not exceed 95% of the employee’s normal weekly earnings</w:t>
      </w:r>
    </w:p>
    <w:p w:rsidR="005D0670" w:rsidRPr="0075780D" w:rsidRDefault="005D0670" w:rsidP="00FC39E9">
      <w:pPr>
        <w:pStyle w:val="ListParagraph"/>
        <w:numPr>
          <w:ilvl w:val="0"/>
          <w:numId w:val="10"/>
        </w:numPr>
        <w:spacing w:after="120"/>
        <w:ind w:left="714" w:hanging="357"/>
        <w:contextualSpacing w:val="0"/>
        <w:rPr>
          <w:lang w:eastAsia="en-CA"/>
        </w:rPr>
      </w:pPr>
      <w:r w:rsidRPr="0075780D">
        <w:rPr>
          <w:lang w:eastAsia="en-CA"/>
        </w:rPr>
        <w:t>requires it be entirely financed by the employer</w:t>
      </w:r>
    </w:p>
    <w:p w:rsidR="005D0670" w:rsidRPr="0075780D" w:rsidRDefault="005D0670" w:rsidP="00FC39E9">
      <w:pPr>
        <w:pStyle w:val="ListParagraph"/>
        <w:numPr>
          <w:ilvl w:val="0"/>
          <w:numId w:val="10"/>
        </w:numPr>
        <w:spacing w:after="120"/>
        <w:ind w:left="714" w:hanging="357"/>
        <w:contextualSpacing w:val="0"/>
        <w:rPr>
          <w:lang w:eastAsia="en-CA"/>
        </w:rPr>
      </w:pPr>
      <w:r w:rsidRPr="0075780D">
        <w:rPr>
          <w:lang w:eastAsia="en-CA"/>
        </w:rPr>
        <w:t>requires that on termination, all remaining assets of the plan will be reverted to the employer or be used for payments under the plan or for its administrative costs</w:t>
      </w:r>
    </w:p>
    <w:p w:rsidR="005D0670" w:rsidRPr="0075780D" w:rsidRDefault="005D0670" w:rsidP="00FC39E9">
      <w:pPr>
        <w:pStyle w:val="ListParagraph"/>
        <w:numPr>
          <w:ilvl w:val="0"/>
          <w:numId w:val="10"/>
        </w:numPr>
        <w:spacing w:after="120"/>
        <w:ind w:left="714" w:hanging="357"/>
        <w:contextualSpacing w:val="0"/>
        <w:rPr>
          <w:lang w:eastAsia="en-CA"/>
        </w:rPr>
      </w:pPr>
      <w:r w:rsidRPr="0075780D">
        <w:rPr>
          <w:lang w:eastAsia="en-CA"/>
        </w:rPr>
        <w:t>requires that written notice of any change to the plan be given to Service Canada within 30 days after the effective date of the change</w:t>
      </w:r>
    </w:p>
    <w:p w:rsidR="005D0670" w:rsidRPr="0075780D" w:rsidRDefault="005D0670" w:rsidP="00FC39E9">
      <w:pPr>
        <w:pStyle w:val="ListParagraph"/>
        <w:numPr>
          <w:ilvl w:val="0"/>
          <w:numId w:val="10"/>
        </w:numPr>
        <w:spacing w:after="120"/>
        <w:ind w:left="714" w:hanging="357"/>
        <w:contextualSpacing w:val="0"/>
        <w:rPr>
          <w:lang w:eastAsia="en-CA"/>
        </w:rPr>
      </w:pPr>
      <w:r w:rsidRPr="0075780D">
        <w:rPr>
          <w:lang w:eastAsia="en-CA"/>
        </w:rPr>
        <w:t>provides that the employees have no vested right to payments under the plan except during a period of unemployment specified in the plan</w:t>
      </w:r>
    </w:p>
    <w:p w:rsidR="00A316B0" w:rsidRDefault="005D0670" w:rsidP="00FC39E9">
      <w:pPr>
        <w:pStyle w:val="ListParagraph"/>
        <w:numPr>
          <w:ilvl w:val="0"/>
          <w:numId w:val="10"/>
        </w:numPr>
        <w:spacing w:after="120"/>
        <w:ind w:left="714" w:hanging="357"/>
        <w:contextualSpacing w:val="0"/>
        <w:rPr>
          <w:lang w:eastAsia="en-CA"/>
        </w:rPr>
      </w:pPr>
      <w:r w:rsidRPr="0075780D">
        <w:rPr>
          <w:lang w:eastAsia="en-CA"/>
        </w:rPr>
        <w:t>provides that payments in respect of guaranteed annual remuneration, deferred remuneration or severance pay will not be reduced or increased by payments received under the plan</w:t>
      </w:r>
    </w:p>
    <w:p w:rsidR="009C33DA" w:rsidRDefault="009C33DA">
      <w:pPr>
        <w:spacing w:before="160" w:after="320" w:line="360" w:lineRule="auto"/>
        <w:rPr>
          <w:lang w:eastAsia="en-CA"/>
        </w:rPr>
      </w:pPr>
      <w:r>
        <w:rPr>
          <w:lang w:eastAsia="en-CA"/>
        </w:rPr>
        <w:br w:type="page"/>
      </w:r>
    </w:p>
    <w:tbl>
      <w:tblPr>
        <w:tblStyle w:val="LightList-Accent5"/>
        <w:tblW w:w="5000" w:type="pct"/>
        <w:tblLook w:val="04A0" w:firstRow="1" w:lastRow="0" w:firstColumn="1" w:lastColumn="0" w:noHBand="0" w:noVBand="1"/>
      </w:tblPr>
      <w:tblGrid>
        <w:gridCol w:w="2012"/>
        <w:gridCol w:w="2012"/>
        <w:gridCol w:w="2012"/>
        <w:gridCol w:w="2012"/>
        <w:gridCol w:w="2012"/>
      </w:tblGrid>
      <w:tr w:rsidR="005D0670" w:rsidRPr="00FC39E9" w:rsidTr="00FC39E9">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rsidR="005D0670" w:rsidRPr="00FC39E9" w:rsidRDefault="005D0670" w:rsidP="005D0670">
            <w:pPr>
              <w:spacing w:after="0"/>
              <w:jc w:val="center"/>
            </w:pPr>
          </w:p>
        </w:tc>
        <w:tc>
          <w:tcPr>
            <w:tcW w:w="1000" w:type="pct"/>
            <w:shd w:val="clear" w:color="auto" w:fill="3494BA" w:themeFill="accent1"/>
            <w:vAlign w:val="center"/>
          </w:tcPr>
          <w:p w:rsidR="005D0670" w:rsidRPr="00FC39E9" w:rsidRDefault="005D0670" w:rsidP="005D0670">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C39E9">
              <w:rPr>
                <w:color w:val="FFFFFF" w:themeColor="background1"/>
              </w:rPr>
              <w:t>Sick/Personal Days</w:t>
            </w:r>
          </w:p>
        </w:tc>
        <w:tc>
          <w:tcPr>
            <w:tcW w:w="1000" w:type="pct"/>
            <w:shd w:val="clear" w:color="auto" w:fill="3494BA" w:themeFill="accent1"/>
            <w:vAlign w:val="center"/>
          </w:tcPr>
          <w:p w:rsidR="005D0670" w:rsidRPr="00FC39E9" w:rsidRDefault="005D0670" w:rsidP="005D0670">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C39E9">
              <w:rPr>
                <w:color w:val="FFFFFF" w:themeColor="background1"/>
              </w:rPr>
              <w:t>Employment Insurance</w:t>
            </w:r>
          </w:p>
        </w:tc>
        <w:tc>
          <w:tcPr>
            <w:tcW w:w="1000" w:type="pct"/>
            <w:shd w:val="clear" w:color="auto" w:fill="3494BA" w:themeFill="accent1"/>
            <w:vAlign w:val="center"/>
          </w:tcPr>
          <w:p w:rsidR="005D0670" w:rsidRPr="00FC39E9" w:rsidRDefault="005D0670" w:rsidP="005D0670">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C39E9">
              <w:rPr>
                <w:color w:val="FFFFFF" w:themeColor="background1"/>
              </w:rPr>
              <w:t>Short Term Disability Insurance</w:t>
            </w:r>
          </w:p>
        </w:tc>
        <w:tc>
          <w:tcPr>
            <w:tcW w:w="1000" w:type="pct"/>
            <w:shd w:val="clear" w:color="auto" w:fill="3494BA" w:themeFill="accent1"/>
            <w:vAlign w:val="center"/>
          </w:tcPr>
          <w:p w:rsidR="005D0670" w:rsidRPr="00FC39E9" w:rsidRDefault="005D0670" w:rsidP="005D0670">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C39E9">
              <w:rPr>
                <w:color w:val="FFFFFF" w:themeColor="background1"/>
              </w:rPr>
              <w:t>SUB Plans</w:t>
            </w:r>
          </w:p>
        </w:tc>
      </w:tr>
      <w:tr w:rsidR="009C33DA" w:rsidRPr="00FC39E9" w:rsidTr="00FC39E9">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000" w:type="pct"/>
            <w:shd w:val="clear" w:color="auto" w:fill="7A8C8E" w:themeFill="accent4"/>
            <w:vAlign w:val="center"/>
          </w:tcPr>
          <w:p w:rsidR="005D0670" w:rsidRPr="00FC39E9" w:rsidRDefault="005D0670" w:rsidP="009C33DA">
            <w:pPr>
              <w:spacing w:after="0"/>
              <w:rPr>
                <w:color w:val="FFFFFF" w:themeColor="background1"/>
              </w:rPr>
            </w:pPr>
            <w:r w:rsidRPr="00FC39E9">
              <w:rPr>
                <w:color w:val="FFFFFF" w:themeColor="background1"/>
              </w:rPr>
              <w:t>Benefit Percent</w:t>
            </w:r>
          </w:p>
        </w:tc>
        <w:tc>
          <w:tcPr>
            <w:tcW w:w="1000" w:type="pct"/>
            <w:vAlign w:val="center"/>
          </w:tcPr>
          <w:p w:rsidR="005D0670" w:rsidRPr="00FC39E9" w:rsidRDefault="005D0670" w:rsidP="005D0670">
            <w:pPr>
              <w:spacing w:after="0"/>
              <w:cnfStyle w:val="000000100000" w:firstRow="0" w:lastRow="0" w:firstColumn="0" w:lastColumn="0" w:oddVBand="0" w:evenVBand="0" w:oddHBand="1" w:evenHBand="0" w:firstRowFirstColumn="0" w:firstRowLastColumn="0" w:lastRowFirstColumn="0" w:lastRowLastColumn="0"/>
            </w:pPr>
            <w:r w:rsidRPr="00FC39E9">
              <w:t xml:space="preserve">100% of </w:t>
            </w:r>
            <w:proofErr w:type="gramStart"/>
            <w:r w:rsidRPr="00FC39E9">
              <w:t>employees</w:t>
            </w:r>
            <w:proofErr w:type="gramEnd"/>
            <w:r w:rsidRPr="00FC39E9">
              <w:t xml:space="preserve"> weekly earnings</w:t>
            </w:r>
          </w:p>
        </w:tc>
        <w:tc>
          <w:tcPr>
            <w:tcW w:w="1000" w:type="pct"/>
            <w:vAlign w:val="center"/>
          </w:tcPr>
          <w:p w:rsidR="005D0670" w:rsidRPr="00FC39E9" w:rsidRDefault="005D0670" w:rsidP="005D0670">
            <w:pPr>
              <w:spacing w:after="0"/>
              <w:cnfStyle w:val="000000100000" w:firstRow="0" w:lastRow="0" w:firstColumn="0" w:lastColumn="0" w:oddVBand="0" w:evenVBand="0" w:oddHBand="1" w:evenHBand="0" w:firstRowFirstColumn="0" w:firstRowLastColumn="0" w:lastRowFirstColumn="0" w:lastRowLastColumn="0"/>
            </w:pPr>
            <w:r w:rsidRPr="00FC39E9">
              <w:t xml:space="preserve">55% of </w:t>
            </w:r>
            <w:proofErr w:type="gramStart"/>
            <w:r w:rsidRPr="00FC39E9">
              <w:t>employees</w:t>
            </w:r>
            <w:proofErr w:type="gramEnd"/>
            <w:r w:rsidRPr="00FC39E9">
              <w:t xml:space="preserve"> weekly earnings</w:t>
            </w:r>
          </w:p>
        </w:tc>
        <w:tc>
          <w:tcPr>
            <w:tcW w:w="1000" w:type="pct"/>
            <w:vAlign w:val="center"/>
          </w:tcPr>
          <w:p w:rsidR="005D0670" w:rsidRPr="00FC39E9" w:rsidRDefault="005D0670" w:rsidP="005D0670">
            <w:pPr>
              <w:spacing w:after="0"/>
              <w:cnfStyle w:val="000000100000" w:firstRow="0" w:lastRow="0" w:firstColumn="0" w:lastColumn="0" w:oddVBand="0" w:evenVBand="0" w:oddHBand="1" w:evenHBand="0" w:firstRowFirstColumn="0" w:firstRowLastColumn="0" w:lastRowFirstColumn="0" w:lastRowLastColumn="0"/>
            </w:pPr>
            <w:r w:rsidRPr="00FC39E9">
              <w:t xml:space="preserve">75% of </w:t>
            </w:r>
            <w:proofErr w:type="gramStart"/>
            <w:r w:rsidRPr="00FC39E9">
              <w:t>employees</w:t>
            </w:r>
            <w:proofErr w:type="gramEnd"/>
            <w:r w:rsidRPr="00FC39E9">
              <w:t xml:space="preserve"> weekly earnings</w:t>
            </w:r>
          </w:p>
        </w:tc>
        <w:tc>
          <w:tcPr>
            <w:tcW w:w="1000" w:type="pct"/>
            <w:vAlign w:val="center"/>
          </w:tcPr>
          <w:p w:rsidR="005D0670" w:rsidRPr="00FC39E9" w:rsidRDefault="005D0670" w:rsidP="005D0670">
            <w:pPr>
              <w:spacing w:after="0"/>
              <w:cnfStyle w:val="000000100000" w:firstRow="0" w:lastRow="0" w:firstColumn="0" w:lastColumn="0" w:oddVBand="0" w:evenVBand="0" w:oddHBand="1" w:evenHBand="0" w:firstRowFirstColumn="0" w:firstRowLastColumn="0" w:lastRowFirstColumn="0" w:lastRowLastColumn="0"/>
            </w:pPr>
            <w:r w:rsidRPr="00FC39E9">
              <w:t xml:space="preserve">Up to a maximum of 95% of </w:t>
            </w:r>
            <w:proofErr w:type="gramStart"/>
            <w:r w:rsidRPr="00FC39E9">
              <w:t>employees</w:t>
            </w:r>
            <w:proofErr w:type="gramEnd"/>
            <w:r w:rsidRPr="00FC39E9">
              <w:t xml:space="preserve"> weekly earnings, less the amount paid by other plans</w:t>
            </w:r>
          </w:p>
        </w:tc>
      </w:tr>
      <w:tr w:rsidR="009C33DA" w:rsidRPr="00FC39E9" w:rsidTr="00FC39E9">
        <w:trPr>
          <w:trHeight w:val="1247"/>
        </w:trPr>
        <w:tc>
          <w:tcPr>
            <w:cnfStyle w:val="001000000000" w:firstRow="0" w:lastRow="0" w:firstColumn="1" w:lastColumn="0" w:oddVBand="0" w:evenVBand="0" w:oddHBand="0" w:evenHBand="0" w:firstRowFirstColumn="0" w:firstRowLastColumn="0" w:lastRowFirstColumn="0" w:lastRowLastColumn="0"/>
            <w:tcW w:w="1000" w:type="pct"/>
            <w:shd w:val="clear" w:color="auto" w:fill="7A8C8E" w:themeFill="accent4"/>
            <w:vAlign w:val="center"/>
          </w:tcPr>
          <w:p w:rsidR="005D0670" w:rsidRPr="00FC39E9" w:rsidRDefault="005D0670" w:rsidP="009C33DA">
            <w:pPr>
              <w:spacing w:after="0"/>
              <w:rPr>
                <w:color w:val="FFFFFF" w:themeColor="background1"/>
              </w:rPr>
            </w:pPr>
            <w:r w:rsidRPr="00FC39E9">
              <w:rPr>
                <w:color w:val="FFFFFF" w:themeColor="background1"/>
              </w:rPr>
              <w:t>Maximum Days of Protection</w:t>
            </w:r>
          </w:p>
        </w:tc>
        <w:tc>
          <w:tcPr>
            <w:tcW w:w="1000" w:type="pct"/>
            <w:vAlign w:val="center"/>
          </w:tcPr>
          <w:p w:rsidR="005D0670" w:rsidRPr="00FC39E9" w:rsidRDefault="005D0670" w:rsidP="005D0670">
            <w:pPr>
              <w:spacing w:after="0"/>
              <w:cnfStyle w:val="000000000000" w:firstRow="0" w:lastRow="0" w:firstColumn="0" w:lastColumn="0" w:oddVBand="0" w:evenVBand="0" w:oddHBand="0" w:evenHBand="0" w:firstRowFirstColumn="0" w:firstRowLastColumn="0" w:lastRowFirstColumn="0" w:lastRowLastColumn="0"/>
            </w:pPr>
            <w:r w:rsidRPr="00FC39E9">
              <w:t>Defined by Employment Agreement</w:t>
            </w:r>
          </w:p>
        </w:tc>
        <w:tc>
          <w:tcPr>
            <w:tcW w:w="1000" w:type="pct"/>
            <w:vAlign w:val="center"/>
          </w:tcPr>
          <w:p w:rsidR="005D0670" w:rsidRPr="00FC39E9" w:rsidRDefault="005D0670" w:rsidP="005D0670">
            <w:pPr>
              <w:spacing w:after="0"/>
              <w:cnfStyle w:val="000000000000" w:firstRow="0" w:lastRow="0" w:firstColumn="0" w:lastColumn="0" w:oddVBand="0" w:evenVBand="0" w:oddHBand="0" w:evenHBand="0" w:firstRowFirstColumn="0" w:firstRowLastColumn="0" w:lastRowFirstColumn="0" w:lastRowLastColumn="0"/>
            </w:pPr>
            <w:r w:rsidRPr="00FC39E9">
              <w:t>105 days</w:t>
            </w:r>
          </w:p>
        </w:tc>
        <w:tc>
          <w:tcPr>
            <w:tcW w:w="1000" w:type="pct"/>
            <w:vAlign w:val="center"/>
          </w:tcPr>
          <w:p w:rsidR="005D0670" w:rsidRPr="00FC39E9" w:rsidRDefault="005D0670" w:rsidP="005D0670">
            <w:pPr>
              <w:spacing w:after="0"/>
              <w:cnfStyle w:val="000000000000" w:firstRow="0" w:lastRow="0" w:firstColumn="0" w:lastColumn="0" w:oddVBand="0" w:evenVBand="0" w:oddHBand="0" w:evenHBand="0" w:firstRowFirstColumn="0" w:firstRowLastColumn="0" w:lastRowFirstColumn="0" w:lastRowLastColumn="0"/>
            </w:pPr>
            <w:r w:rsidRPr="00FC39E9">
              <w:t>Options of 90 days, 105 days up to 182 days</w:t>
            </w:r>
          </w:p>
        </w:tc>
        <w:tc>
          <w:tcPr>
            <w:tcW w:w="1000" w:type="pct"/>
            <w:vAlign w:val="center"/>
          </w:tcPr>
          <w:p w:rsidR="005D0670" w:rsidRPr="00FC39E9" w:rsidRDefault="005D0670" w:rsidP="005D0670">
            <w:pPr>
              <w:spacing w:after="0"/>
              <w:cnfStyle w:val="000000000000" w:firstRow="0" w:lastRow="0" w:firstColumn="0" w:lastColumn="0" w:oddVBand="0" w:evenVBand="0" w:oddHBand="0" w:evenHBand="0" w:firstRowFirstColumn="0" w:firstRowLastColumn="0" w:lastRowFirstColumn="0" w:lastRowLastColumn="0"/>
            </w:pPr>
            <w:r w:rsidRPr="00FC39E9">
              <w:t>Defined by SUB agreement and approved by government</w:t>
            </w:r>
          </w:p>
        </w:tc>
      </w:tr>
      <w:tr w:rsidR="009C33DA" w:rsidRPr="00FC39E9" w:rsidTr="00FC39E9">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000" w:type="pct"/>
            <w:shd w:val="clear" w:color="auto" w:fill="7A8C8E" w:themeFill="accent4"/>
            <w:vAlign w:val="center"/>
          </w:tcPr>
          <w:p w:rsidR="005D0670" w:rsidRPr="00FC39E9" w:rsidRDefault="005D0670" w:rsidP="009C33DA">
            <w:pPr>
              <w:spacing w:after="0"/>
              <w:rPr>
                <w:color w:val="FFFFFF" w:themeColor="background1"/>
              </w:rPr>
            </w:pPr>
            <w:r w:rsidRPr="00FC39E9">
              <w:rPr>
                <w:color w:val="FFFFFF" w:themeColor="background1"/>
              </w:rPr>
              <w:t>Maximum Weekly Payout</w:t>
            </w:r>
          </w:p>
        </w:tc>
        <w:tc>
          <w:tcPr>
            <w:tcW w:w="1000" w:type="pct"/>
            <w:vAlign w:val="center"/>
          </w:tcPr>
          <w:p w:rsidR="005D0670" w:rsidRPr="00FC39E9" w:rsidRDefault="005D0670" w:rsidP="005D0670">
            <w:pPr>
              <w:spacing w:after="0"/>
              <w:cnfStyle w:val="000000100000" w:firstRow="0" w:lastRow="0" w:firstColumn="0" w:lastColumn="0" w:oddVBand="0" w:evenVBand="0" w:oddHBand="1" w:evenHBand="0" w:firstRowFirstColumn="0" w:firstRowLastColumn="0" w:lastRowFirstColumn="0" w:lastRowLastColumn="0"/>
            </w:pPr>
            <w:r w:rsidRPr="00FC39E9">
              <w:t xml:space="preserve">100% of </w:t>
            </w:r>
            <w:proofErr w:type="gramStart"/>
            <w:r w:rsidRPr="00FC39E9">
              <w:t>employees</w:t>
            </w:r>
            <w:proofErr w:type="gramEnd"/>
            <w:r w:rsidRPr="00FC39E9">
              <w:t xml:space="preserve"> weekly earnings</w:t>
            </w:r>
          </w:p>
        </w:tc>
        <w:tc>
          <w:tcPr>
            <w:tcW w:w="1000" w:type="pct"/>
            <w:vAlign w:val="center"/>
          </w:tcPr>
          <w:p w:rsidR="005D0670" w:rsidRPr="00FC39E9" w:rsidRDefault="005D0670" w:rsidP="005D0670">
            <w:pPr>
              <w:spacing w:after="0"/>
              <w:cnfStyle w:val="000000100000" w:firstRow="0" w:lastRow="0" w:firstColumn="0" w:lastColumn="0" w:oddVBand="0" w:evenVBand="0" w:oddHBand="1" w:evenHBand="0" w:firstRowFirstColumn="0" w:firstRowLastColumn="0" w:lastRowFirstColumn="0" w:lastRowLastColumn="0"/>
            </w:pPr>
            <w:r w:rsidRPr="00FC39E9">
              <w:t>$543 per week</w:t>
            </w:r>
          </w:p>
        </w:tc>
        <w:tc>
          <w:tcPr>
            <w:tcW w:w="1000" w:type="pct"/>
            <w:vAlign w:val="center"/>
          </w:tcPr>
          <w:p w:rsidR="005D0670" w:rsidRPr="00FC39E9" w:rsidRDefault="005D0670" w:rsidP="005D0670">
            <w:pPr>
              <w:spacing w:after="0"/>
              <w:cnfStyle w:val="000000100000" w:firstRow="0" w:lastRow="0" w:firstColumn="0" w:lastColumn="0" w:oddVBand="0" w:evenVBand="0" w:oddHBand="1" w:evenHBand="0" w:firstRowFirstColumn="0" w:firstRowLastColumn="0" w:lastRowFirstColumn="0" w:lastRowLastColumn="0"/>
            </w:pPr>
            <w:r w:rsidRPr="00FC39E9">
              <w:t xml:space="preserve">75% of </w:t>
            </w:r>
            <w:proofErr w:type="gramStart"/>
            <w:r w:rsidRPr="00FC39E9">
              <w:t>employees</w:t>
            </w:r>
            <w:proofErr w:type="gramEnd"/>
            <w:r w:rsidRPr="00FC39E9">
              <w:t xml:space="preserve"> weekly earnings</w:t>
            </w:r>
          </w:p>
        </w:tc>
        <w:tc>
          <w:tcPr>
            <w:tcW w:w="1000" w:type="pct"/>
            <w:vAlign w:val="center"/>
          </w:tcPr>
          <w:p w:rsidR="005D0670" w:rsidRPr="00FC39E9" w:rsidRDefault="005D0670" w:rsidP="005D0670">
            <w:pPr>
              <w:spacing w:after="0"/>
              <w:cnfStyle w:val="000000100000" w:firstRow="0" w:lastRow="0" w:firstColumn="0" w:lastColumn="0" w:oddVBand="0" w:evenVBand="0" w:oddHBand="1" w:evenHBand="0" w:firstRowFirstColumn="0" w:firstRowLastColumn="0" w:lastRowFirstColumn="0" w:lastRowLastColumn="0"/>
            </w:pPr>
            <w:r w:rsidRPr="00FC39E9">
              <w:t xml:space="preserve">Up to a maximum of 95% of </w:t>
            </w:r>
            <w:proofErr w:type="gramStart"/>
            <w:r w:rsidRPr="00FC39E9">
              <w:t>employees</w:t>
            </w:r>
            <w:proofErr w:type="gramEnd"/>
            <w:r w:rsidRPr="00FC39E9">
              <w:t xml:space="preserve"> weekly earnings</w:t>
            </w:r>
          </w:p>
        </w:tc>
      </w:tr>
      <w:tr w:rsidR="009C33DA" w:rsidRPr="00FC39E9" w:rsidTr="00FC39E9">
        <w:trPr>
          <w:trHeight w:val="1247"/>
        </w:trPr>
        <w:tc>
          <w:tcPr>
            <w:cnfStyle w:val="001000000000" w:firstRow="0" w:lastRow="0" w:firstColumn="1" w:lastColumn="0" w:oddVBand="0" w:evenVBand="0" w:oddHBand="0" w:evenHBand="0" w:firstRowFirstColumn="0" w:firstRowLastColumn="0" w:lastRowFirstColumn="0" w:lastRowLastColumn="0"/>
            <w:tcW w:w="1000" w:type="pct"/>
            <w:shd w:val="clear" w:color="auto" w:fill="7A8C8E" w:themeFill="accent4"/>
            <w:vAlign w:val="center"/>
          </w:tcPr>
          <w:p w:rsidR="005D0670" w:rsidRPr="00FC39E9" w:rsidRDefault="005D0670" w:rsidP="009C33DA">
            <w:pPr>
              <w:spacing w:after="0"/>
              <w:rPr>
                <w:color w:val="FFFFFF" w:themeColor="background1"/>
              </w:rPr>
            </w:pPr>
            <w:r w:rsidRPr="00FC39E9">
              <w:rPr>
                <w:color w:val="FFFFFF" w:themeColor="background1"/>
              </w:rPr>
              <w:t>Are Medical Leaves of Absence Covered</w:t>
            </w:r>
          </w:p>
        </w:tc>
        <w:tc>
          <w:tcPr>
            <w:tcW w:w="1000" w:type="pct"/>
            <w:vAlign w:val="center"/>
          </w:tcPr>
          <w:p w:rsidR="005D0670" w:rsidRPr="00FC39E9" w:rsidRDefault="005D0670" w:rsidP="005D0670">
            <w:pPr>
              <w:spacing w:after="0"/>
              <w:cnfStyle w:val="000000000000" w:firstRow="0" w:lastRow="0" w:firstColumn="0" w:lastColumn="0" w:oddVBand="0" w:evenVBand="0" w:oddHBand="0" w:evenHBand="0" w:firstRowFirstColumn="0" w:firstRowLastColumn="0" w:lastRowFirstColumn="0" w:lastRowLastColumn="0"/>
            </w:pPr>
            <w:r w:rsidRPr="00FC39E9">
              <w:t>Yes</w:t>
            </w:r>
          </w:p>
        </w:tc>
        <w:tc>
          <w:tcPr>
            <w:tcW w:w="1000" w:type="pct"/>
            <w:vAlign w:val="center"/>
          </w:tcPr>
          <w:p w:rsidR="005D0670" w:rsidRPr="00FC39E9" w:rsidRDefault="005D0670" w:rsidP="005D0670">
            <w:pPr>
              <w:spacing w:after="0"/>
              <w:cnfStyle w:val="000000000000" w:firstRow="0" w:lastRow="0" w:firstColumn="0" w:lastColumn="0" w:oddVBand="0" w:evenVBand="0" w:oddHBand="0" w:evenHBand="0" w:firstRowFirstColumn="0" w:firstRowLastColumn="0" w:lastRowFirstColumn="0" w:lastRowLastColumn="0"/>
            </w:pPr>
            <w:r w:rsidRPr="00FC39E9">
              <w:t>Yes</w:t>
            </w:r>
          </w:p>
        </w:tc>
        <w:tc>
          <w:tcPr>
            <w:tcW w:w="1000" w:type="pct"/>
            <w:vAlign w:val="center"/>
          </w:tcPr>
          <w:p w:rsidR="005D0670" w:rsidRPr="00FC39E9" w:rsidRDefault="005D0670" w:rsidP="005D0670">
            <w:pPr>
              <w:spacing w:after="0"/>
              <w:cnfStyle w:val="000000000000" w:firstRow="0" w:lastRow="0" w:firstColumn="0" w:lastColumn="0" w:oddVBand="0" w:evenVBand="0" w:oddHBand="0" w:evenHBand="0" w:firstRowFirstColumn="0" w:firstRowLastColumn="0" w:lastRowFirstColumn="0" w:lastRowLastColumn="0"/>
            </w:pPr>
            <w:r w:rsidRPr="00FC39E9">
              <w:t>Yes</w:t>
            </w:r>
          </w:p>
        </w:tc>
        <w:tc>
          <w:tcPr>
            <w:tcW w:w="1000" w:type="pct"/>
            <w:vAlign w:val="center"/>
          </w:tcPr>
          <w:p w:rsidR="005D0670" w:rsidRPr="00FC39E9" w:rsidRDefault="005D0670" w:rsidP="005D0670">
            <w:pPr>
              <w:spacing w:after="0"/>
              <w:cnfStyle w:val="000000000000" w:firstRow="0" w:lastRow="0" w:firstColumn="0" w:lastColumn="0" w:oddVBand="0" w:evenVBand="0" w:oddHBand="0" w:evenHBand="0" w:firstRowFirstColumn="0" w:firstRowLastColumn="0" w:lastRowFirstColumn="0" w:lastRowLastColumn="0"/>
            </w:pPr>
            <w:r w:rsidRPr="00FC39E9">
              <w:t>Yes</w:t>
            </w:r>
          </w:p>
        </w:tc>
      </w:tr>
      <w:tr w:rsidR="009C33DA" w:rsidRPr="00FC39E9" w:rsidTr="00FC39E9">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000" w:type="pct"/>
            <w:shd w:val="clear" w:color="auto" w:fill="7A8C8E" w:themeFill="accent4"/>
            <w:vAlign w:val="center"/>
          </w:tcPr>
          <w:p w:rsidR="005D0670" w:rsidRPr="00FC39E9" w:rsidRDefault="005D0670" w:rsidP="009C33DA">
            <w:pPr>
              <w:spacing w:after="0"/>
              <w:rPr>
                <w:color w:val="FFFFFF" w:themeColor="background1"/>
              </w:rPr>
            </w:pPr>
            <w:r w:rsidRPr="00FC39E9">
              <w:rPr>
                <w:color w:val="FFFFFF" w:themeColor="background1"/>
              </w:rPr>
              <w:t>Are non-Medical Leaves of Absence Covered</w:t>
            </w:r>
          </w:p>
        </w:tc>
        <w:tc>
          <w:tcPr>
            <w:tcW w:w="1000" w:type="pct"/>
            <w:vAlign w:val="center"/>
          </w:tcPr>
          <w:p w:rsidR="005D0670" w:rsidRPr="00FC39E9" w:rsidRDefault="005D0670" w:rsidP="005D0670">
            <w:pPr>
              <w:spacing w:after="0"/>
              <w:cnfStyle w:val="000000100000" w:firstRow="0" w:lastRow="0" w:firstColumn="0" w:lastColumn="0" w:oddVBand="0" w:evenVBand="0" w:oddHBand="1" w:evenHBand="0" w:firstRowFirstColumn="0" w:firstRowLastColumn="0" w:lastRowFirstColumn="0" w:lastRowLastColumn="0"/>
            </w:pPr>
            <w:r w:rsidRPr="00FC39E9">
              <w:t>Yes</w:t>
            </w:r>
          </w:p>
        </w:tc>
        <w:tc>
          <w:tcPr>
            <w:tcW w:w="1000" w:type="pct"/>
            <w:vAlign w:val="center"/>
          </w:tcPr>
          <w:p w:rsidR="005D0670" w:rsidRPr="00FC39E9" w:rsidRDefault="005D0670" w:rsidP="005D0670">
            <w:pPr>
              <w:spacing w:after="0"/>
              <w:cnfStyle w:val="000000100000" w:firstRow="0" w:lastRow="0" w:firstColumn="0" w:lastColumn="0" w:oddVBand="0" w:evenVBand="0" w:oddHBand="1" w:evenHBand="0" w:firstRowFirstColumn="0" w:firstRowLastColumn="0" w:lastRowFirstColumn="0" w:lastRowLastColumn="0"/>
            </w:pPr>
            <w:r w:rsidRPr="00FC39E9">
              <w:t>Yes</w:t>
            </w:r>
          </w:p>
        </w:tc>
        <w:tc>
          <w:tcPr>
            <w:tcW w:w="1000" w:type="pct"/>
            <w:vAlign w:val="center"/>
          </w:tcPr>
          <w:p w:rsidR="005D0670" w:rsidRPr="00FC39E9" w:rsidRDefault="005D0670" w:rsidP="005D0670">
            <w:pPr>
              <w:spacing w:after="0"/>
              <w:cnfStyle w:val="000000100000" w:firstRow="0" w:lastRow="0" w:firstColumn="0" w:lastColumn="0" w:oddVBand="0" w:evenVBand="0" w:oddHBand="1" w:evenHBand="0" w:firstRowFirstColumn="0" w:firstRowLastColumn="0" w:lastRowFirstColumn="0" w:lastRowLastColumn="0"/>
            </w:pPr>
            <w:r w:rsidRPr="00FC39E9">
              <w:t>No</w:t>
            </w:r>
          </w:p>
        </w:tc>
        <w:tc>
          <w:tcPr>
            <w:tcW w:w="1000" w:type="pct"/>
            <w:vAlign w:val="center"/>
          </w:tcPr>
          <w:p w:rsidR="005D0670" w:rsidRPr="00FC39E9" w:rsidRDefault="005D0670" w:rsidP="005D0670">
            <w:pPr>
              <w:spacing w:after="0"/>
              <w:cnfStyle w:val="000000100000" w:firstRow="0" w:lastRow="0" w:firstColumn="0" w:lastColumn="0" w:oddVBand="0" w:evenVBand="0" w:oddHBand="1" w:evenHBand="0" w:firstRowFirstColumn="0" w:firstRowLastColumn="0" w:lastRowFirstColumn="0" w:lastRowLastColumn="0"/>
            </w:pPr>
            <w:r w:rsidRPr="00FC39E9">
              <w:t>Yes</w:t>
            </w:r>
          </w:p>
        </w:tc>
      </w:tr>
    </w:tbl>
    <w:p w:rsidR="005D0670" w:rsidRDefault="005D0670" w:rsidP="009C33DA"/>
    <w:p w:rsidR="009C33DA" w:rsidRPr="009C33DA" w:rsidRDefault="009C33DA" w:rsidP="009C33DA">
      <w:r w:rsidRPr="009C33DA">
        <w:t xml:space="preserve">In order to implement an approved </w:t>
      </w:r>
      <w:proofErr w:type="gramStart"/>
      <w:r w:rsidRPr="009C33DA">
        <w:t>SUB</w:t>
      </w:r>
      <w:proofErr w:type="gramEnd"/>
      <w:r w:rsidRPr="009C33DA">
        <w:t xml:space="preserve"> plan you need to apply to the government</w:t>
      </w:r>
      <w:r>
        <w:t xml:space="preserve"> pursuant to subsection 37(2). </w:t>
      </w:r>
      <w:r w:rsidRPr="009C33DA">
        <w:t>In the absence of an approved SUB plan, any monies paid by the company is considered income and is subject to CPP and EI contribution premiums.</w:t>
      </w:r>
    </w:p>
    <w:p w:rsidR="009C33DA" w:rsidRPr="009C33DA" w:rsidRDefault="009C33DA" w:rsidP="009C33DA">
      <w:r w:rsidRPr="009C33DA">
        <w:t>Payments originating from an approved SUB plans will not be deducted from EI benefits when the plans are registered with Service Canada</w:t>
      </w:r>
    </w:p>
    <w:p w:rsidR="009C33DA" w:rsidRPr="009C33DA" w:rsidRDefault="009C33DA" w:rsidP="009C33DA">
      <w:r w:rsidRPr="009C33DA">
        <w:t>Employers who provide top-ups to maternity, parental (including adoption) compassionate care or parents of critically ill children benefits should refer to the </w:t>
      </w:r>
      <w:hyperlink r:id="rId9" w:history="1">
        <w:r w:rsidRPr="009C33DA">
          <w:rPr>
            <w:rStyle w:val="Hyperlink"/>
          </w:rPr>
          <w:t>Emp</w:t>
        </w:r>
        <w:r w:rsidRPr="009C33DA">
          <w:rPr>
            <w:rStyle w:val="Hyperlink"/>
          </w:rPr>
          <w:t>l</w:t>
        </w:r>
        <w:r w:rsidRPr="009C33DA">
          <w:rPr>
            <w:rStyle w:val="Hyperlink"/>
          </w:rPr>
          <w:t>oyers supplementing maternity, parental, compassionate care or parents of critically ill children benefits</w:t>
        </w:r>
      </w:hyperlink>
      <w:r w:rsidRPr="009C33DA">
        <w:t xml:space="preserve"> web page. These plans do not have to be registered with Service Canada. </w:t>
      </w:r>
    </w:p>
    <w:p w:rsidR="00FC39E9" w:rsidRDefault="00FC39E9">
      <w:pPr>
        <w:spacing w:before="160" w:after="320" w:line="360" w:lineRule="auto"/>
      </w:pPr>
      <w:r>
        <w:br w:type="page"/>
      </w:r>
    </w:p>
    <w:p w:rsidR="00FC39E9" w:rsidRPr="00FC39E9" w:rsidRDefault="00FC39E9" w:rsidP="0001074C">
      <w:pPr>
        <w:pStyle w:val="Heading2"/>
      </w:pPr>
      <w:r w:rsidRPr="00FC39E9">
        <w:lastRenderedPageBreak/>
        <w:t>Attached is a</w:t>
      </w:r>
      <w:r>
        <w:t xml:space="preserve"> sample of an eligible SUB Plan</w:t>
      </w:r>
    </w:p>
    <w:p w:rsidR="00FC39E9" w:rsidRPr="00FC39E9" w:rsidRDefault="00FC39E9" w:rsidP="0001074C">
      <w:pPr>
        <w:pStyle w:val="Normal2"/>
      </w:pPr>
      <w:r w:rsidRPr="00FC39E9">
        <w:t>The following sample contains all the information required in a SUB plan. The information in bold should be included in your plan description. Any information following the asterisk (</w:t>
      </w:r>
      <w:r w:rsidRPr="00FC39E9">
        <w:rPr>
          <w:highlight w:val="yellow"/>
        </w:rPr>
        <w:t>*</w:t>
      </w:r>
      <w:r w:rsidRPr="00FC39E9">
        <w:t>) is an example and should be replaced with information</w:t>
      </w:r>
      <w:r>
        <w:t xml:space="preserve"> reflecting your own situation.</w:t>
      </w:r>
    </w:p>
    <w:p w:rsidR="00FC39E9" w:rsidRPr="00FC39E9" w:rsidRDefault="00FC39E9" w:rsidP="00FC39E9">
      <w:pPr>
        <w:pStyle w:val="Heading4"/>
        <w:spacing w:before="0" w:after="120"/>
      </w:pPr>
      <w:r w:rsidRPr="00FC39E9">
        <w:t xml:space="preserve">Details on each of the following items are found </w:t>
      </w:r>
      <w:r w:rsidR="0001074C">
        <w:t xml:space="preserve">in </w:t>
      </w:r>
      <w:hyperlink r:id="rId10" w:history="1">
        <w:r w:rsidR="0001074C" w:rsidRPr="0001074C">
          <w:rPr>
            <w:rStyle w:val="Hyperlink"/>
            <w:rFonts w:ascii="Helvetica" w:eastAsia="Times New Roman" w:hAnsi="Helvetica" w:cs="Helvetica"/>
            <w:bCs/>
            <w:lang w:eastAsia="en-CA"/>
          </w:rPr>
          <w:t>Part I – Plan Requirements</w:t>
        </w:r>
      </w:hyperlink>
    </w:p>
    <w:p w:rsidR="00FC39E9" w:rsidRPr="00FC39E9" w:rsidRDefault="00FC39E9" w:rsidP="00FC39E9">
      <w:pPr>
        <w:pStyle w:val="ListParagraph"/>
        <w:numPr>
          <w:ilvl w:val="0"/>
          <w:numId w:val="11"/>
        </w:numPr>
        <w:spacing w:after="120"/>
        <w:ind w:left="426"/>
        <w:contextualSpacing w:val="0"/>
      </w:pPr>
      <w:r w:rsidRPr="00FC39E9">
        <w:t xml:space="preserve">The following group(s) of employees is/are covered by the </w:t>
      </w:r>
      <w:proofErr w:type="gramStart"/>
      <w:r w:rsidRPr="00FC39E9">
        <w:t>plan:</w:t>
      </w:r>
      <w:r w:rsidRPr="00FC39E9">
        <w:rPr>
          <w:highlight w:val="yellow"/>
        </w:rPr>
        <w:t>*</w:t>
      </w:r>
      <w:proofErr w:type="gramEnd"/>
      <w:r w:rsidRPr="00FC39E9">
        <w:t xml:space="preserve"> All full time employees with one year of service.</w:t>
      </w:r>
    </w:p>
    <w:p w:rsidR="00FC39E9" w:rsidRPr="00FC39E9" w:rsidRDefault="00FC39E9" w:rsidP="00FC39E9">
      <w:pPr>
        <w:pStyle w:val="ListParagraph"/>
        <w:numPr>
          <w:ilvl w:val="0"/>
          <w:numId w:val="11"/>
        </w:numPr>
        <w:spacing w:after="120"/>
        <w:ind w:left="426"/>
        <w:contextualSpacing w:val="0"/>
      </w:pPr>
      <w:r w:rsidRPr="00FC39E9">
        <w:t>The plan will supplement EI benefits for periods of unemployment caused by</w:t>
      </w:r>
      <w:r w:rsidRPr="00FC39E9">
        <w:rPr>
          <w:highlight w:val="yellow"/>
        </w:rPr>
        <w:t>*</w:t>
      </w:r>
      <w:r w:rsidRPr="00FC39E9">
        <w:t xml:space="preserve"> illness.</w:t>
      </w:r>
    </w:p>
    <w:p w:rsidR="00FC39E9" w:rsidRPr="00FC39E9" w:rsidRDefault="00FC39E9" w:rsidP="00FC39E9">
      <w:pPr>
        <w:pStyle w:val="ListParagraph"/>
        <w:numPr>
          <w:ilvl w:val="0"/>
          <w:numId w:val="11"/>
        </w:numPr>
        <w:spacing w:after="120"/>
        <w:ind w:left="426"/>
        <w:contextualSpacing w:val="0"/>
      </w:pPr>
      <w:r w:rsidRPr="00FC39E9">
        <w:t>Verification that the employees have applied for and are in receipt of EI benefits will be made before SUB payments are paid.</w:t>
      </w:r>
    </w:p>
    <w:p w:rsidR="00FC39E9" w:rsidRPr="00FC39E9" w:rsidRDefault="00FC39E9" w:rsidP="00FC39E9">
      <w:pPr>
        <w:pStyle w:val="ListParagraph"/>
        <w:numPr>
          <w:ilvl w:val="0"/>
          <w:numId w:val="11"/>
        </w:numPr>
        <w:spacing w:after="120"/>
        <w:ind w:left="426"/>
        <w:contextualSpacing w:val="0"/>
      </w:pPr>
      <w:r w:rsidRPr="00FC39E9">
        <w:t>The SUB is payable at</w:t>
      </w:r>
      <w:r w:rsidRPr="00FC39E9">
        <w:rPr>
          <w:highlight w:val="yellow"/>
        </w:rPr>
        <w:t>*</w:t>
      </w:r>
      <w:r w:rsidRPr="00FC39E9">
        <w:t xml:space="preserve"> 95% of the employee's normal weekly earnings while</w:t>
      </w:r>
      <w:r w:rsidRPr="00FC39E9">
        <w:rPr>
          <w:highlight w:val="yellow"/>
        </w:rPr>
        <w:t>*</w:t>
      </w:r>
      <w:r w:rsidRPr="00FC39E9">
        <w:t xml:space="preserve"> the employee is serving the one-week EI waiting period.</w:t>
      </w:r>
    </w:p>
    <w:p w:rsidR="00FC39E9" w:rsidRPr="00FC39E9" w:rsidRDefault="00FC39E9" w:rsidP="00FC39E9">
      <w:pPr>
        <w:pStyle w:val="ListParagraph"/>
        <w:numPr>
          <w:ilvl w:val="0"/>
          <w:numId w:val="11"/>
        </w:numPr>
        <w:spacing w:after="120"/>
        <w:ind w:left="426"/>
        <w:contextualSpacing w:val="0"/>
      </w:pPr>
      <w:r w:rsidRPr="00FC39E9">
        <w:t>Please choose one of the following options:</w:t>
      </w:r>
    </w:p>
    <w:p w:rsidR="00FC39E9" w:rsidRPr="00FC39E9" w:rsidRDefault="0001074C" w:rsidP="0001074C">
      <w:pPr>
        <w:pStyle w:val="ListParagraph"/>
        <w:numPr>
          <w:ilvl w:val="0"/>
          <w:numId w:val="12"/>
        </w:numPr>
        <w:spacing w:after="120"/>
        <w:ind w:left="851"/>
        <w:contextualSpacing w:val="0"/>
      </w:pPr>
      <w:hyperlink r:id="rId11" w:anchor="ex2a" w:history="1">
        <w:r w:rsidR="00FC39E9" w:rsidRPr="0001074C">
          <w:rPr>
            <w:rStyle w:val="Hyperlink"/>
            <w:b/>
          </w:rPr>
          <w:t>Option A</w:t>
        </w:r>
      </w:hyperlink>
      <w:r w:rsidR="00FC39E9" w:rsidRPr="00FC39E9">
        <w:t xml:space="preserve"> (percentage or fixed amount): The benefit paid under this plan is set at</w:t>
      </w:r>
      <w:r w:rsidR="00FC39E9" w:rsidRPr="00FC39E9">
        <w:rPr>
          <w:highlight w:val="yellow"/>
        </w:rPr>
        <w:t>*</w:t>
      </w:r>
      <w:r w:rsidR="00FC39E9" w:rsidRPr="00FC39E9">
        <w:t xml:space="preserve"> 40% of the employees' normal weekly earnings or $300 (fixed amount). The weekly SUB payment, plus the gross amount of EI benefit from this employment will not exceed 95% of the employee's normal weekly earnings.</w:t>
      </w:r>
    </w:p>
    <w:p w:rsidR="00FC39E9" w:rsidRPr="00FC39E9" w:rsidRDefault="0001074C" w:rsidP="0001074C">
      <w:pPr>
        <w:pStyle w:val="ListParagraph"/>
        <w:numPr>
          <w:ilvl w:val="0"/>
          <w:numId w:val="12"/>
        </w:numPr>
        <w:spacing w:after="120"/>
        <w:ind w:left="851"/>
        <w:contextualSpacing w:val="0"/>
      </w:pPr>
      <w:hyperlink r:id="rId12" w:anchor="ex2a" w:history="1">
        <w:r w:rsidR="00FC39E9" w:rsidRPr="0001074C">
          <w:rPr>
            <w:rStyle w:val="Hyperlink"/>
            <w:b/>
          </w:rPr>
          <w:t>Option B</w:t>
        </w:r>
      </w:hyperlink>
      <w:r w:rsidR="00FC39E9" w:rsidRPr="00FC39E9">
        <w:t xml:space="preserve"> (automatic adjustment): The plan provides that the gross amount of EI benefit from this employment plus the SUB payment will equal</w:t>
      </w:r>
      <w:r w:rsidR="00FC39E9" w:rsidRPr="00FC39E9">
        <w:rPr>
          <w:highlight w:val="yellow"/>
        </w:rPr>
        <w:t>*</w:t>
      </w:r>
      <w:r w:rsidR="00FC39E9" w:rsidRPr="00FC39E9">
        <w:t xml:space="preserve"> 95% of the employee's normal weekly earnings.</w:t>
      </w:r>
    </w:p>
    <w:p w:rsidR="00FC39E9" w:rsidRPr="00FC39E9" w:rsidRDefault="0001074C" w:rsidP="0001074C">
      <w:pPr>
        <w:pStyle w:val="ListParagraph"/>
        <w:numPr>
          <w:ilvl w:val="0"/>
          <w:numId w:val="12"/>
        </w:numPr>
        <w:spacing w:after="120"/>
        <w:ind w:left="851"/>
        <w:contextualSpacing w:val="0"/>
      </w:pPr>
      <w:hyperlink r:id="rId13" w:anchor="ex2b" w:history="1">
        <w:r w:rsidR="00FC39E9" w:rsidRPr="0001074C">
          <w:rPr>
            <w:rStyle w:val="Hyperlink"/>
            <w:b/>
          </w:rPr>
          <w:t>Option C</w:t>
        </w:r>
      </w:hyperlink>
      <w:r w:rsidR="00FC39E9" w:rsidRPr="00FC39E9">
        <w:t xml:space="preserve"> (other earnings considered): The plan provides that the SUB payment, any other earnings, plus the EI benefit from this employment will equal</w:t>
      </w:r>
      <w:r w:rsidR="00FC39E9" w:rsidRPr="00FC39E9">
        <w:rPr>
          <w:highlight w:val="yellow"/>
        </w:rPr>
        <w:t>*</w:t>
      </w:r>
      <w:r w:rsidR="00FC39E9" w:rsidRPr="00FC39E9">
        <w:t xml:space="preserve"> 95% of the emp</w:t>
      </w:r>
      <w:r w:rsidR="00FC39E9">
        <w:t>loyee's normal weekly earnings.</w:t>
      </w:r>
    </w:p>
    <w:p w:rsidR="00FC39E9" w:rsidRDefault="00FC39E9" w:rsidP="00FC39E9">
      <w:pPr>
        <w:pStyle w:val="ListParagraph"/>
        <w:numPr>
          <w:ilvl w:val="0"/>
          <w:numId w:val="11"/>
        </w:numPr>
        <w:spacing w:after="120"/>
        <w:ind w:left="426"/>
        <w:contextualSpacing w:val="0"/>
      </w:pPr>
      <w:r w:rsidRPr="00FC39E9">
        <w:t>The SUB benefit will be paid for</w:t>
      </w:r>
      <w:r w:rsidRPr="0001074C">
        <w:rPr>
          <w:highlight w:val="yellow"/>
        </w:rPr>
        <w:t>*</w:t>
      </w:r>
      <w:r w:rsidRPr="00FC39E9">
        <w:t xml:space="preserve"> 10 weeks.</w:t>
      </w:r>
    </w:p>
    <w:p w:rsidR="00FC39E9" w:rsidRDefault="00FC39E9" w:rsidP="00FC39E9">
      <w:pPr>
        <w:pStyle w:val="ListParagraph"/>
        <w:numPr>
          <w:ilvl w:val="0"/>
          <w:numId w:val="11"/>
        </w:numPr>
        <w:spacing w:after="120"/>
        <w:ind w:left="426"/>
        <w:contextualSpacing w:val="0"/>
      </w:pPr>
      <w:r w:rsidRPr="00FC39E9">
        <w:t>a) The duration of the plan is from</w:t>
      </w:r>
      <w:r>
        <w:t xml:space="preserve"> </w:t>
      </w:r>
      <w:r w:rsidRPr="00FC39E9">
        <w:rPr>
          <w:highlight w:val="yellow"/>
        </w:rPr>
        <w:t>*January 9, 2017 to* December 31, 2021</w:t>
      </w:r>
      <w:r w:rsidRPr="00FC39E9">
        <w:t>.</w:t>
      </w:r>
    </w:p>
    <w:p w:rsidR="00FC39E9" w:rsidRPr="00FC39E9" w:rsidRDefault="00FC39E9" w:rsidP="00FC39E9">
      <w:pPr>
        <w:spacing w:after="120"/>
        <w:ind w:left="426"/>
      </w:pPr>
      <w:r w:rsidRPr="00FC39E9">
        <w:t>b) Service Canada - SUB Program will be informed in writing of any change to the plan within thirty (30) days of the effective date of the change.</w:t>
      </w:r>
    </w:p>
    <w:p w:rsidR="00FC39E9" w:rsidRDefault="00FC39E9" w:rsidP="00FC39E9">
      <w:pPr>
        <w:pStyle w:val="ListParagraph"/>
        <w:numPr>
          <w:ilvl w:val="0"/>
          <w:numId w:val="11"/>
        </w:numPr>
        <w:spacing w:after="120"/>
        <w:ind w:left="426"/>
        <w:contextualSpacing w:val="0"/>
      </w:pPr>
      <w:r>
        <w:t xml:space="preserve">a) </w:t>
      </w:r>
      <w:r w:rsidRPr="00FC39E9">
        <w:t>The plan is financed</w:t>
      </w:r>
      <w:r w:rsidRPr="0001074C">
        <w:rPr>
          <w:highlight w:val="yellow"/>
        </w:rPr>
        <w:t>*</w:t>
      </w:r>
      <w:r w:rsidRPr="00FC39E9">
        <w:t xml:space="preserve"> by the employer's general revenues.</w:t>
      </w:r>
    </w:p>
    <w:p w:rsidR="00FC39E9" w:rsidRPr="00FC39E9" w:rsidRDefault="00FC39E9" w:rsidP="00FC39E9">
      <w:pPr>
        <w:spacing w:after="120"/>
        <w:ind w:firstLine="426"/>
      </w:pPr>
      <w:r w:rsidRPr="00FC39E9">
        <w:t>b) A separate record of all the SUB payments will be kept.</w:t>
      </w:r>
    </w:p>
    <w:p w:rsidR="00FC39E9" w:rsidRPr="00FC39E9" w:rsidRDefault="00FC39E9" w:rsidP="00FC39E9">
      <w:pPr>
        <w:pStyle w:val="ListParagraph"/>
        <w:numPr>
          <w:ilvl w:val="0"/>
          <w:numId w:val="11"/>
        </w:numPr>
        <w:spacing w:after="120"/>
        <w:ind w:left="426"/>
        <w:contextualSpacing w:val="0"/>
      </w:pPr>
      <w:r w:rsidRPr="00FC39E9">
        <w:t>Payments of guaranteed annual remuneration, deferred remuneration, or severance pay will not be reduced or increased by payments received under the SUB plan.</w:t>
      </w:r>
    </w:p>
    <w:p w:rsidR="00FC39E9" w:rsidRPr="00FC39E9" w:rsidRDefault="00FC39E9" w:rsidP="0001074C">
      <w:pPr>
        <w:pStyle w:val="ListParagraph"/>
        <w:numPr>
          <w:ilvl w:val="0"/>
          <w:numId w:val="11"/>
        </w:numPr>
        <w:spacing w:after="120"/>
        <w:ind w:left="426" w:hanging="426"/>
        <w:contextualSpacing w:val="0"/>
      </w:pPr>
      <w:r w:rsidRPr="00FC39E9">
        <w:t>This plan provides for an offset of EI benefits that may have to be repaid as part of the employee's income tax return. The weekly gross EI benefit from this employment, the SUB payments previously paid plus this offset amount will not exceed 95% of the employee's normal weekly earnings.</w:t>
      </w:r>
    </w:p>
    <w:p w:rsidR="00FC39E9" w:rsidRPr="00FC39E9" w:rsidRDefault="00FC39E9" w:rsidP="0001074C">
      <w:pPr>
        <w:pStyle w:val="ListParagraph"/>
        <w:numPr>
          <w:ilvl w:val="0"/>
          <w:numId w:val="11"/>
        </w:numPr>
        <w:spacing w:after="120"/>
        <w:ind w:left="426" w:hanging="426"/>
        <w:contextualSpacing w:val="0"/>
      </w:pPr>
      <w:r w:rsidRPr="00FC39E9">
        <w:t>On termination of the plan, all remaining assets will revert to the employer, be used for SUB payments and/or be used for the administrative costs of the plan.</w:t>
      </w:r>
    </w:p>
    <w:p w:rsidR="00FC39E9" w:rsidRPr="00FC39E9" w:rsidRDefault="00FC39E9" w:rsidP="0001074C">
      <w:pPr>
        <w:pStyle w:val="ListParagraph"/>
        <w:numPr>
          <w:ilvl w:val="0"/>
          <w:numId w:val="11"/>
        </w:numPr>
        <w:spacing w:after="120"/>
        <w:ind w:left="426" w:hanging="426"/>
        <w:contextualSpacing w:val="0"/>
      </w:pPr>
      <w:r w:rsidRPr="00FC39E9">
        <w:lastRenderedPageBreak/>
        <w:t>Employees do not have a right to SUB payments except during the period of unemployment specified in the plan.</w:t>
      </w:r>
    </w:p>
    <w:p w:rsidR="00FC39E9" w:rsidRPr="00FC39E9" w:rsidRDefault="00FC39E9" w:rsidP="00FC39E9"/>
    <w:p w:rsidR="00FC39E9" w:rsidRPr="00FC39E9" w:rsidRDefault="00FC39E9" w:rsidP="0001074C">
      <w:pPr>
        <w:pBdr>
          <w:bottom w:val="single" w:sz="4" w:space="1" w:color="auto"/>
        </w:pBdr>
      </w:pPr>
      <w:r w:rsidRPr="00FC39E9">
        <w:t>Signat</w:t>
      </w:r>
      <w:r w:rsidR="0001074C">
        <w:t>ure(s) of authorized officer(s):</w:t>
      </w:r>
    </w:p>
    <w:p w:rsidR="00FC39E9" w:rsidRPr="00FC39E9" w:rsidRDefault="00FC39E9" w:rsidP="00FC39E9"/>
    <w:p w:rsidR="009C33DA" w:rsidRPr="00FC39E9" w:rsidRDefault="00FC39E9" w:rsidP="0001074C">
      <w:pPr>
        <w:pBdr>
          <w:top w:val="single" w:sz="4" w:space="1" w:color="auto"/>
        </w:pBdr>
      </w:pPr>
      <w:r w:rsidRPr="00FC39E9">
        <w:t>Date</w:t>
      </w:r>
      <w:r w:rsidRPr="0001074C">
        <w:rPr>
          <w:highlight w:val="yellow"/>
        </w:rPr>
        <w:t>*</w:t>
      </w:r>
      <w:r w:rsidRPr="00FC39E9">
        <w:t xml:space="preserve"> date of signing.</w:t>
      </w:r>
    </w:p>
    <w:sectPr w:rsidR="009C33DA" w:rsidRPr="00FC39E9" w:rsidSect="00F408FF">
      <w:footerReference w:type="default" r:id="rId14"/>
      <w:headerReference w:type="first" r:id="rId15"/>
      <w:footerReference w:type="first" r:id="rId16"/>
      <w:pgSz w:w="12240" w:h="15840"/>
      <w:pgMar w:top="1692"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2B5" w:rsidRDefault="00A522B5">
      <w:pPr>
        <w:spacing w:after="0"/>
      </w:pPr>
      <w:r>
        <w:separator/>
      </w:r>
    </w:p>
    <w:p w:rsidR="00A522B5" w:rsidRDefault="00A522B5"/>
  </w:endnote>
  <w:endnote w:type="continuationSeparator" w:id="0">
    <w:p w:rsidR="00A522B5" w:rsidRDefault="00A522B5">
      <w:pPr>
        <w:spacing w:after="0"/>
      </w:pPr>
      <w:r>
        <w:continuationSeparator/>
      </w:r>
    </w:p>
    <w:p w:rsidR="00A522B5" w:rsidRDefault="00A52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35" w:rsidRDefault="001C4BEA" w:rsidP="001C4BEA">
    <w:pPr>
      <w:pStyle w:val="Footer"/>
      <w:ind w:left="1701"/>
      <w:jc w:val="right"/>
    </w:pPr>
    <w:r>
      <w:rPr>
        <w:noProof/>
      </w:rPr>
      <w:drawing>
        <wp:anchor distT="0" distB="0" distL="114300" distR="114300" simplePos="0" relativeHeight="251664384" behindDoc="0" locked="0" layoutInCell="1" allowOverlap="1" wp14:anchorId="69564079" wp14:editId="2CF448D6">
          <wp:simplePos x="0" y="0"/>
          <wp:positionH relativeFrom="column">
            <wp:posOffset>-410210</wp:posOffset>
          </wp:positionH>
          <wp:positionV relativeFrom="paragraph">
            <wp:posOffset>-28575</wp:posOffset>
          </wp:positionV>
          <wp:extent cx="817200" cy="4896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sdt>
      <w:sdtPr>
        <w:id w:val="-1741171722"/>
        <w:docPartObj>
          <w:docPartGallery w:val="Page Numbers (Bottom of Page)"/>
          <w:docPartUnique/>
        </w:docPartObj>
      </w:sdtPr>
      <w:sdtEndPr>
        <w:rPr>
          <w:noProof/>
        </w:rPr>
      </w:sdtEndPr>
      <w:sdtContent>
        <w:r w:rsidR="00722262">
          <w:fldChar w:fldCharType="begin"/>
        </w:r>
        <w:r w:rsidR="00722262">
          <w:instrText xml:space="preserve"> PAGE   \* MERGEFORMAT </w:instrText>
        </w:r>
        <w:r w:rsidR="00722262">
          <w:fldChar w:fldCharType="separate"/>
        </w:r>
        <w:r w:rsidR="00722262">
          <w:rPr>
            <w:noProof/>
          </w:rPr>
          <w:t>2</w:t>
        </w:r>
        <w:r w:rsidR="0072226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35" w:rsidRPr="00766252" w:rsidRDefault="00A316B0" w:rsidP="00D63925">
    <w:pPr>
      <w:pStyle w:val="Footer"/>
      <w:ind w:left="1701" w:right="15"/>
      <w:jc w:val="right"/>
    </w:pPr>
    <w:r>
      <w:rPr>
        <w:noProof/>
      </w:rPr>
      <w:drawing>
        <wp:anchor distT="0" distB="0" distL="114300" distR="114300" simplePos="0" relativeHeight="251662336" behindDoc="0" locked="0" layoutInCell="1" allowOverlap="1" wp14:anchorId="7D905A53" wp14:editId="25E60DD4">
          <wp:simplePos x="0" y="0"/>
          <wp:positionH relativeFrom="column">
            <wp:posOffset>-409503</wp:posOffset>
          </wp:positionH>
          <wp:positionV relativeFrom="paragraph">
            <wp:posOffset>-28575</wp:posOffset>
          </wp:positionV>
          <wp:extent cx="817200" cy="4896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r w:rsidR="005D0670" w:rsidRPr="005D0670">
      <w:t xml:space="preserve"> Income Protection Plan Available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2B5" w:rsidRDefault="00A522B5">
      <w:pPr>
        <w:spacing w:after="0"/>
      </w:pPr>
      <w:r>
        <w:separator/>
      </w:r>
    </w:p>
    <w:p w:rsidR="00A522B5" w:rsidRDefault="00A522B5"/>
  </w:footnote>
  <w:footnote w:type="continuationSeparator" w:id="0">
    <w:p w:rsidR="00A522B5" w:rsidRDefault="00A522B5">
      <w:pPr>
        <w:spacing w:after="0"/>
      </w:pPr>
      <w:r>
        <w:continuationSeparator/>
      </w:r>
    </w:p>
    <w:p w:rsidR="00A522B5" w:rsidRDefault="00A52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9B" w:rsidRDefault="00766252" w:rsidP="00766252">
    <w:pPr>
      <w:pStyle w:val="Header"/>
      <w:ind w:left="-284" w:firstLine="284"/>
    </w:pPr>
    <w:r>
      <w:rPr>
        <w:rFonts w:ascii="Arial" w:eastAsia="Arial" w:hAnsi="Arial" w:cs="Arial"/>
        <w:noProof/>
        <w:sz w:val="20"/>
        <w:szCs w:val="20"/>
      </w:rPr>
      <w:drawing>
        <wp:anchor distT="0" distB="0" distL="114300" distR="114300" simplePos="0" relativeHeight="251660288" behindDoc="0" locked="0" layoutInCell="1" allowOverlap="1" wp14:anchorId="329AFC48" wp14:editId="7ECD1505">
          <wp:simplePos x="0" y="0"/>
          <wp:positionH relativeFrom="column">
            <wp:posOffset>-418640</wp:posOffset>
          </wp:positionH>
          <wp:positionV relativeFrom="paragraph">
            <wp:posOffset>-194742</wp:posOffset>
          </wp:positionV>
          <wp:extent cx="1339702" cy="4465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isor-logo.png"/>
                  <pic:cNvPicPr/>
                </pic:nvPicPr>
                <pic:blipFill>
                  <a:blip r:embed="rId1">
                    <a:extLst>
                      <a:ext uri="{28A0092B-C50C-407E-A947-70E740481C1C}">
                        <a14:useLocalDpi xmlns:a14="http://schemas.microsoft.com/office/drawing/2010/main" val="0"/>
                      </a:ext>
                    </a:extLst>
                  </a:blip>
                  <a:stretch>
                    <a:fillRect/>
                  </a:stretch>
                </pic:blipFill>
                <pic:spPr>
                  <a:xfrm>
                    <a:off x="0" y="0"/>
                    <a:ext cx="1339702" cy="446567"/>
                  </a:xfrm>
                  <a:prstGeom prst="rect">
                    <a:avLst/>
                  </a:prstGeom>
                </pic:spPr>
              </pic:pic>
            </a:graphicData>
          </a:graphic>
          <wp14:sizeRelH relativeFrom="page">
            <wp14:pctWidth>0</wp14:pctWidth>
          </wp14:sizeRelH>
          <wp14:sizeRelV relativeFrom="page">
            <wp14:pctHeight>0</wp14:pctHeight>
          </wp14:sizeRelV>
        </wp:anchor>
      </w:drawing>
    </w:r>
    <w:r w:rsidR="00E7159B">
      <w:rPr>
        <w:noProof/>
      </w:rPr>
      <w:drawing>
        <wp:anchor distT="0" distB="0" distL="114300" distR="114300" simplePos="0" relativeHeight="251658240" behindDoc="1" locked="0" layoutInCell="1" allowOverlap="1" wp14:anchorId="1CAC49DE" wp14:editId="189A969A">
          <wp:simplePos x="0" y="0"/>
          <wp:positionH relativeFrom="column">
            <wp:posOffset>5513705</wp:posOffset>
          </wp:positionH>
          <wp:positionV relativeFrom="paragraph">
            <wp:posOffset>-224645</wp:posOffset>
          </wp:positionV>
          <wp:extent cx="1314213" cy="5208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docs-logo.png"/>
                  <pic:cNvPicPr/>
                </pic:nvPicPr>
                <pic:blipFill>
                  <a:blip r:embed="rId2"/>
                  <a:stretch>
                    <a:fillRect/>
                  </a:stretch>
                </pic:blipFill>
                <pic:spPr>
                  <a:xfrm>
                    <a:off x="0" y="0"/>
                    <a:ext cx="1314213" cy="5208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502EE"/>
    <w:multiLevelType w:val="hybridMultilevel"/>
    <w:tmpl w:val="144E6660"/>
    <w:lvl w:ilvl="0" w:tplc="D584E01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FF25B0"/>
    <w:multiLevelType w:val="hybridMultilevel"/>
    <w:tmpl w:val="D980A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E7047"/>
    <w:multiLevelType w:val="multilevel"/>
    <w:tmpl w:val="8480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50646"/>
    <w:multiLevelType w:val="hybridMultilevel"/>
    <w:tmpl w:val="529CA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A1451"/>
    <w:multiLevelType w:val="hybridMultilevel"/>
    <w:tmpl w:val="16922DD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83748"/>
    <w:multiLevelType w:val="hybridMultilevel"/>
    <w:tmpl w:val="EED0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F3E04"/>
    <w:multiLevelType w:val="hybridMultilevel"/>
    <w:tmpl w:val="D980A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7"/>
  </w:num>
  <w:num w:numId="6">
    <w:abstractNumId w:val="10"/>
  </w:num>
  <w:num w:numId="7">
    <w:abstractNumId w:val="4"/>
  </w:num>
  <w:num w:numId="8">
    <w:abstractNumId w:val="14"/>
  </w:num>
  <w:num w:numId="9">
    <w:abstractNumId w:val="5"/>
  </w:num>
  <w:num w:numId="10">
    <w:abstractNumId w:val="11"/>
  </w:num>
  <w:num w:numId="11">
    <w:abstractNumId w:val="8"/>
  </w:num>
  <w:num w:numId="12">
    <w:abstractNumId w:val="2"/>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70"/>
    <w:rsid w:val="0001074C"/>
    <w:rsid w:val="000240E8"/>
    <w:rsid w:val="000E3CD0"/>
    <w:rsid w:val="001C4BEA"/>
    <w:rsid w:val="001D41BA"/>
    <w:rsid w:val="00290E6A"/>
    <w:rsid w:val="0029683F"/>
    <w:rsid w:val="003D49E9"/>
    <w:rsid w:val="003E75B8"/>
    <w:rsid w:val="005D0670"/>
    <w:rsid w:val="006A3ABF"/>
    <w:rsid w:val="006E21B0"/>
    <w:rsid w:val="00722262"/>
    <w:rsid w:val="007568B3"/>
    <w:rsid w:val="00766252"/>
    <w:rsid w:val="00810C35"/>
    <w:rsid w:val="009C33DA"/>
    <w:rsid w:val="009E147B"/>
    <w:rsid w:val="00A310C9"/>
    <w:rsid w:val="00A316B0"/>
    <w:rsid w:val="00A522B5"/>
    <w:rsid w:val="00AE0AA5"/>
    <w:rsid w:val="00B9013C"/>
    <w:rsid w:val="00C37C30"/>
    <w:rsid w:val="00CE266C"/>
    <w:rsid w:val="00D63925"/>
    <w:rsid w:val="00E7159B"/>
    <w:rsid w:val="00E9586D"/>
    <w:rsid w:val="00E9680A"/>
    <w:rsid w:val="00F408FF"/>
    <w:rsid w:val="00F61D5F"/>
    <w:rsid w:val="00FA291D"/>
    <w:rsid w:val="00FC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D3F26"/>
  <w15:chartTrackingRefBased/>
  <w15:docId w15:val="{72E75350-8428-3A42-8299-3DF5B962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52"/>
    <w:pPr>
      <w:spacing w:before="0" w:after="240" w:line="240" w:lineRule="auto"/>
    </w:pPr>
    <w:rPr>
      <w:color w:val="404040" w:themeColor="text1" w:themeTint="BF"/>
      <w:sz w:val="22"/>
    </w:rPr>
  </w:style>
  <w:style w:type="paragraph" w:styleId="Heading1">
    <w:name w:val="heading 1"/>
    <w:basedOn w:val="Normal"/>
    <w:next w:val="Normal"/>
    <w:link w:val="Heading1Char"/>
    <w:uiPriority w:val="9"/>
    <w:qFormat/>
    <w:rsid w:val="00766252"/>
    <w:pPr>
      <w:keepNext/>
      <w:keepLines/>
      <w:spacing w:before="120"/>
      <w:outlineLvl w:val="0"/>
    </w:pPr>
    <w:rPr>
      <w:rFonts w:ascii="Gill Sans MT" w:eastAsiaTheme="majorEastAsia" w:hAnsi="Gill Sans MT" w:cstheme="majorBidi"/>
      <w:caps/>
      <w:color w:val="18719E"/>
      <w:spacing w:val="14"/>
      <w:sz w:val="52"/>
      <w:szCs w:val="32"/>
    </w:rPr>
  </w:style>
  <w:style w:type="paragraph" w:styleId="Heading2">
    <w:name w:val="heading 2"/>
    <w:basedOn w:val="Normal"/>
    <w:next w:val="Normal"/>
    <w:link w:val="Heading2Char"/>
    <w:uiPriority w:val="9"/>
    <w:unhideWhenUsed/>
    <w:qFormat/>
    <w:rsid w:val="00E9680A"/>
    <w:pPr>
      <w:keepNext/>
      <w:keepLines/>
      <w:outlineLvl w:val="1"/>
    </w:pPr>
    <w:rPr>
      <w:rFonts w:ascii="Gill Sans MT" w:eastAsiaTheme="majorEastAsia" w:hAnsi="Gill Sans MT" w:cstheme="majorBidi"/>
      <w:caps/>
      <w:color w:val="7F7F7F" w:themeColor="text1" w:themeTint="80"/>
      <w:spacing w:val="14"/>
      <w:sz w:val="40"/>
      <w:szCs w:val="26"/>
    </w:rPr>
  </w:style>
  <w:style w:type="paragraph" w:styleId="Heading3">
    <w:name w:val="heading 3"/>
    <w:basedOn w:val="Normal"/>
    <w:next w:val="Normal"/>
    <w:link w:val="Heading3Char"/>
    <w:uiPriority w:val="9"/>
    <w:unhideWhenUsed/>
    <w:qFormat/>
    <w:rsid w:val="00A316B0"/>
    <w:pPr>
      <w:keepNext/>
      <w:keepLines/>
      <w:contextualSpacing/>
      <w:outlineLvl w:val="2"/>
    </w:pPr>
    <w:rPr>
      <w:rFonts w:ascii="Gill Sans MT" w:eastAsiaTheme="majorEastAsia" w:hAnsi="Gill Sans MT" w:cstheme="majorBidi"/>
      <w:color w:val="18719E"/>
      <w:sz w:val="34"/>
    </w:rPr>
  </w:style>
  <w:style w:type="paragraph" w:styleId="Heading4">
    <w:name w:val="heading 4"/>
    <w:basedOn w:val="Normal"/>
    <w:next w:val="Normal"/>
    <w:link w:val="Heading4Char"/>
    <w:uiPriority w:val="9"/>
    <w:unhideWhenUsed/>
    <w:qFormat/>
    <w:rsid w:val="00E9680A"/>
    <w:pPr>
      <w:keepNext/>
      <w:keepLines/>
      <w:spacing w:before="40" w:after="0"/>
      <w:outlineLvl w:val="3"/>
    </w:pPr>
    <w:rPr>
      <w:rFonts w:eastAsiaTheme="majorEastAsia" w:cstheme="majorBidi"/>
      <w:b/>
      <w:iCs/>
      <w:color w:val="276E8B"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494BA"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Title">
    <w:name w:val="Title"/>
    <w:basedOn w:val="Normal"/>
    <w:next w:val="Normal"/>
    <w:link w:val="TitleChar"/>
    <w:uiPriority w:val="10"/>
    <w:semiHidden/>
    <w:unhideWhenUsed/>
    <w:qFormat/>
    <w:pPr>
      <w:spacing w:after="0"/>
      <w:contextualSpacing/>
    </w:pPr>
    <w:rPr>
      <w:rFonts w:asciiTheme="majorHAnsi" w:eastAsiaTheme="majorEastAsia" w:hAnsiTheme="majorHAnsi" w:cstheme="majorBidi"/>
      <w:caps/>
      <w:color w:val="58B6C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58B6C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766252"/>
    <w:rPr>
      <w:rFonts w:ascii="Gill Sans MT" w:eastAsiaTheme="majorEastAsia" w:hAnsi="Gill Sans MT" w:cstheme="majorBidi"/>
      <w:caps/>
      <w:color w:val="18719E"/>
      <w:spacing w:val="14"/>
      <w:sz w:val="52"/>
      <w:szCs w:val="32"/>
    </w:rPr>
  </w:style>
  <w:style w:type="character" w:customStyle="1" w:styleId="Heading2Char">
    <w:name w:val="Heading 2 Char"/>
    <w:basedOn w:val="DefaultParagraphFont"/>
    <w:link w:val="Heading2"/>
    <w:uiPriority w:val="9"/>
    <w:rsid w:val="00E9680A"/>
    <w:rPr>
      <w:rFonts w:ascii="Gill Sans MT" w:eastAsiaTheme="majorEastAsia" w:hAnsi="Gill Sans MT" w:cstheme="majorBidi"/>
      <w:caps/>
      <w:spacing w:val="14"/>
      <w:sz w:val="40"/>
      <w:szCs w:val="26"/>
    </w:rPr>
  </w:style>
  <w:style w:type="paragraph" w:styleId="ListBullet">
    <w:name w:val="List Bullet"/>
    <w:basedOn w:val="Normal"/>
    <w:uiPriority w:val="31"/>
    <w:qFormat/>
    <w:rsid w:val="00766252"/>
    <w:pPr>
      <w:numPr>
        <w:numId w:val="8"/>
      </w:numPr>
      <w:ind w:left="907" w:hanging="34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58B6C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3494BA" w:themeColor="accent1"/>
        <w:insideH w:val="single" w:sz="6" w:space="0" w:color="3494BA" w:themeColor="accent1"/>
      </w:tblBorders>
      <w:tblCellMar>
        <w:left w:w="230" w:type="dxa"/>
        <w:right w:w="0" w:type="dxa"/>
      </w:tblCellMar>
    </w:tblPr>
    <w:tblStylePr w:type="firstRow">
      <w:pPr>
        <w:wordWrap/>
        <w:spacing w:beforeLines="0" w:before="200" w:beforeAutospacing="0" w:afterLines="0" w:after="160" w:afterAutospacing="0"/>
      </w:pPr>
      <w:rPr>
        <w:b/>
        <w:i w:val="0"/>
        <w:color w:val="CEDBE6" w:themeColor="background2"/>
        <w:sz w:val="28"/>
      </w:rPr>
      <w:tblPr/>
      <w:trPr>
        <w:tblHeader/>
      </w:trPr>
      <w:tcPr>
        <w:tcBorders>
          <w:top w:val="nil"/>
          <w:left w:val="nil"/>
          <w:bottom w:val="nil"/>
          <w:right w:val="nil"/>
          <w:insideH w:val="nil"/>
          <w:insideV w:val="nil"/>
          <w:tl2br w:val="nil"/>
          <w:tr2bl w:val="nil"/>
        </w:tcBorders>
        <w:shd w:val="clear" w:color="auto" w:fill="3494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3494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3494BA" w:themeColor="accent1"/>
    </w:rPr>
  </w:style>
  <w:style w:type="character" w:styleId="Emphasis">
    <w:name w:val="Emphasis"/>
    <w:basedOn w:val="DefaultParagraphFont"/>
    <w:uiPriority w:val="20"/>
    <w:semiHidden/>
    <w:unhideWhenUsed/>
    <w:qFormat/>
    <w:rPr>
      <w:i/>
      <w:iCs/>
      <w:color w:val="58B6C0" w:themeColor="accent2"/>
    </w:rPr>
  </w:style>
  <w:style w:type="character" w:styleId="IntenseEmphasis">
    <w:name w:val="Intense Emphasis"/>
    <w:basedOn w:val="DefaultParagraphFont"/>
    <w:uiPriority w:val="21"/>
    <w:semiHidden/>
    <w:unhideWhenUsed/>
    <w:qFormat/>
    <w:rPr>
      <w:b/>
      <w:i/>
      <w:iCs/>
      <w:color w:val="58B6C0" w:themeColor="accent2"/>
    </w:rPr>
  </w:style>
  <w:style w:type="character" w:styleId="Strong">
    <w:name w:val="Strong"/>
    <w:basedOn w:val="DefaultParagraphFont"/>
    <w:uiPriority w:val="22"/>
    <w:semiHidden/>
    <w:unhideWhenUsed/>
    <w:qFormat/>
    <w:rPr>
      <w:b/>
      <w:bCs/>
      <w:color w:val="3494BA" w:themeColor="accent1"/>
    </w:rPr>
  </w:style>
  <w:style w:type="character" w:styleId="SubtleReference">
    <w:name w:val="Subtle Reference"/>
    <w:basedOn w:val="DefaultParagraphFont"/>
    <w:uiPriority w:val="31"/>
    <w:semiHidden/>
    <w:unhideWhenUsed/>
    <w:qFormat/>
    <w:rPr>
      <w:i/>
      <w:caps/>
      <w:smallCaps w:val="0"/>
      <w:color w:val="3494BA" w:themeColor="accent1"/>
    </w:rPr>
  </w:style>
  <w:style w:type="character" w:styleId="IntenseReference">
    <w:name w:val="Intense Reference"/>
    <w:basedOn w:val="DefaultParagraphFont"/>
    <w:uiPriority w:val="32"/>
    <w:semiHidden/>
    <w:unhideWhenUsed/>
    <w:qFormat/>
    <w:rPr>
      <w:b/>
      <w:bCs/>
      <w:i/>
      <w:caps/>
      <w:smallCaps w:val="0"/>
      <w:color w:val="3494BA" w:themeColor="accent1"/>
      <w:spacing w:val="0"/>
    </w:rPr>
  </w:style>
  <w:style w:type="character" w:styleId="BookTitle">
    <w:name w:val="Book Title"/>
    <w:basedOn w:val="DefaultParagraphFont"/>
    <w:uiPriority w:val="33"/>
    <w:semiHidden/>
    <w:unhideWhenUsed/>
    <w:qFormat/>
    <w:rPr>
      <w:b w:val="0"/>
      <w:bCs/>
      <w:i w:val="0"/>
      <w:iCs/>
      <w:color w:val="3494BA"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7568B3"/>
    <w:pPr>
      <w:pBdr>
        <w:top w:val="single" w:sz="4" w:space="8" w:color="3494BA" w:themeColor="accent1"/>
        <w:left w:val="single" w:sz="4" w:space="31" w:color="3494BA" w:themeColor="accent1"/>
        <w:bottom w:val="single" w:sz="4" w:space="8" w:color="3494BA" w:themeColor="accent1"/>
        <w:right w:val="single" w:sz="4" w:space="31" w:color="3494BA" w:themeColor="accent1"/>
      </w:pBdr>
      <w:shd w:val="clear" w:color="auto" w:fill="3494BA" w:themeFill="accent1"/>
      <w:spacing w:after="0"/>
    </w:pPr>
    <w:rPr>
      <w:rFonts w:ascii="Gill Sans MT" w:hAnsi="Gill Sans MT" w:cs="Times New Roman (Body CS)"/>
      <w:caps/>
      <w:color w:val="FFFFFF" w:themeColor="background1"/>
    </w:rPr>
  </w:style>
  <w:style w:type="character" w:customStyle="1" w:styleId="FooterChar">
    <w:name w:val="Footer Char"/>
    <w:basedOn w:val="DefaultParagraphFont"/>
    <w:link w:val="Footer"/>
    <w:uiPriority w:val="99"/>
    <w:rsid w:val="007568B3"/>
    <w:rPr>
      <w:rFonts w:ascii="Gill Sans MT" w:hAnsi="Gill Sans MT" w:cs="Times New Roman (Body CS)"/>
      <w:caps/>
      <w:color w:val="FFFFFF" w:themeColor="background1"/>
      <w:sz w:val="22"/>
      <w:shd w:val="clear" w:color="auto" w:fill="3494BA" w:themeFill="accent1"/>
    </w:rPr>
  </w:style>
  <w:style w:type="paragraph" w:styleId="Quote">
    <w:name w:val="Quote"/>
    <w:basedOn w:val="Normal"/>
    <w:next w:val="Normal"/>
    <w:link w:val="QuoteChar"/>
    <w:uiPriority w:val="29"/>
    <w:unhideWhenUsed/>
    <w:qFormat/>
    <w:rsid w:val="00A316B0"/>
    <w:pPr>
      <w:spacing w:line="264" w:lineRule="auto"/>
      <w:contextualSpacing/>
    </w:pPr>
    <w:rPr>
      <w:rFonts w:ascii="Gill Sans MT" w:hAnsi="Gill Sans MT"/>
      <w:i/>
      <w:iCs/>
      <w:color w:val="007AAA"/>
      <w:sz w:val="32"/>
    </w:rPr>
  </w:style>
  <w:style w:type="character" w:customStyle="1" w:styleId="QuoteChar">
    <w:name w:val="Quote Char"/>
    <w:basedOn w:val="DefaultParagraphFont"/>
    <w:link w:val="Quote"/>
    <w:uiPriority w:val="29"/>
    <w:rsid w:val="00A316B0"/>
    <w:rPr>
      <w:rFonts w:ascii="Gill Sans MT" w:hAnsi="Gill Sans MT"/>
      <w:i/>
      <w:iCs/>
      <w:color w:val="007AAA"/>
      <w:sz w:val="32"/>
    </w:rPr>
  </w:style>
  <w:style w:type="character" w:customStyle="1" w:styleId="IntenseQuoteChar">
    <w:name w:val="Intense Quote Char"/>
    <w:basedOn w:val="DefaultParagraphFont"/>
    <w:link w:val="IntenseQuote"/>
    <w:uiPriority w:val="30"/>
    <w:semiHidden/>
    <w:rPr>
      <w:rFonts w:asciiTheme="majorHAnsi" w:hAnsiTheme="majorHAnsi"/>
      <w:i/>
      <w:iCs/>
      <w:color w:val="58B6C0" w:themeColor="accent2"/>
      <w:sz w:val="32"/>
    </w:rPr>
  </w:style>
  <w:style w:type="character" w:customStyle="1" w:styleId="Heading3Char">
    <w:name w:val="Heading 3 Char"/>
    <w:basedOn w:val="DefaultParagraphFont"/>
    <w:link w:val="Heading3"/>
    <w:uiPriority w:val="9"/>
    <w:rsid w:val="00A316B0"/>
    <w:rPr>
      <w:rFonts w:ascii="Gill Sans MT" w:eastAsiaTheme="majorEastAsia" w:hAnsi="Gill Sans MT" w:cstheme="majorBidi"/>
      <w:color w:val="18719E"/>
      <w:sz w:val="34"/>
    </w:rPr>
  </w:style>
  <w:style w:type="paragraph" w:styleId="ListNumber">
    <w:name w:val="List Number"/>
    <w:basedOn w:val="Normal"/>
    <w:uiPriority w:val="32"/>
    <w:qFormat/>
    <w:rsid w:val="000240E8"/>
    <w:pPr>
      <w:numPr>
        <w:numId w:val="7"/>
      </w:numPr>
      <w:ind w:left="935" w:hanging="357"/>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494BA" w:themeColor="accent1"/>
    </w:rPr>
  </w:style>
  <w:style w:type="paragraph" w:styleId="ListParagraph">
    <w:name w:val="List Paragraph"/>
    <w:basedOn w:val="Normal"/>
    <w:uiPriority w:val="34"/>
    <w:unhideWhenUsed/>
    <w:qFormat/>
    <w:rsid w:val="00766252"/>
    <w:pPr>
      <w:ind w:left="720"/>
      <w:contextualSpacing/>
    </w:pPr>
  </w:style>
  <w:style w:type="character" w:customStyle="1" w:styleId="Heading4Char">
    <w:name w:val="Heading 4 Char"/>
    <w:basedOn w:val="DefaultParagraphFont"/>
    <w:link w:val="Heading4"/>
    <w:uiPriority w:val="9"/>
    <w:rsid w:val="00E9680A"/>
    <w:rPr>
      <w:rFonts w:eastAsiaTheme="majorEastAsia" w:cstheme="majorBidi"/>
      <w:b/>
      <w:iCs/>
      <w:color w:val="276E8B" w:themeColor="accent1" w:themeShade="BF"/>
    </w:rPr>
  </w:style>
  <w:style w:type="paragraph" w:customStyle="1" w:styleId="Normal2">
    <w:name w:val="Normal 2"/>
    <w:basedOn w:val="Normal"/>
    <w:qFormat/>
    <w:rsid w:val="00CE266C"/>
    <w:pPr>
      <w:spacing w:line="360" w:lineRule="auto"/>
    </w:pPr>
  </w:style>
  <w:style w:type="table" w:styleId="LightList-Accent5">
    <w:name w:val="Light List Accent 5"/>
    <w:basedOn w:val="TableNormal"/>
    <w:uiPriority w:val="61"/>
    <w:rsid w:val="005D0670"/>
    <w:pPr>
      <w:spacing w:before="0" w:after="0" w:line="240" w:lineRule="auto"/>
    </w:pPr>
    <w:rPr>
      <w:color w:val="auto"/>
      <w:sz w:val="22"/>
      <w:szCs w:val="22"/>
      <w:lang w:val="en-CA" w:eastAsia="en-US"/>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character" w:styleId="Hyperlink">
    <w:name w:val="Hyperlink"/>
    <w:basedOn w:val="DefaultParagraphFont"/>
    <w:uiPriority w:val="99"/>
    <w:unhideWhenUsed/>
    <w:rsid w:val="009C33DA"/>
    <w:rPr>
      <w:color w:val="0000FF"/>
      <w:u w:val="single"/>
    </w:rPr>
  </w:style>
  <w:style w:type="character" w:styleId="UnresolvedMention">
    <w:name w:val="Unresolved Mention"/>
    <w:basedOn w:val="DefaultParagraphFont"/>
    <w:uiPriority w:val="99"/>
    <w:semiHidden/>
    <w:unhideWhenUsed/>
    <w:rsid w:val="0001074C"/>
    <w:rPr>
      <w:color w:val="605E5C"/>
      <w:shd w:val="clear" w:color="auto" w:fill="E1DFDD"/>
    </w:rPr>
  </w:style>
  <w:style w:type="character" w:styleId="FollowedHyperlink">
    <w:name w:val="FollowedHyperlink"/>
    <w:basedOn w:val="DefaultParagraphFont"/>
    <w:uiPriority w:val="99"/>
    <w:semiHidden/>
    <w:unhideWhenUsed/>
    <w:rsid w:val="0001074C"/>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regulations/SOR-96-332/page-10.html" TargetMode="External"/><Relationship Id="rId13" Type="http://schemas.openxmlformats.org/officeDocument/2006/relationships/hyperlink" Target="https://www.canada.ca/en/employment-social-development/programs/ei/ei-list/reports/supplemental-unemployment-benefit/requirement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s-lois.justice.gc.ca/eng/regulations/SOR-96-332/page-10.html" TargetMode="External"/><Relationship Id="rId12" Type="http://schemas.openxmlformats.org/officeDocument/2006/relationships/hyperlink" Target="https://www.canada.ca/en/employment-social-development/programs/ei/ei-list/reports/supplemental-unemployment-benefit/requiremen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employment-social-development/programs/ei/ei-list/reports/supplemental-unemployment-benefit/requirement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anada.ca/en/employment-social-development/programs/ei/ei-list/reports/supplemental-unemployment-benefit/requirements.html" TargetMode="External"/><Relationship Id="rId4" Type="http://schemas.openxmlformats.org/officeDocument/2006/relationships/webSettings" Target="webSettings.xml"/><Relationship Id="rId9" Type="http://schemas.openxmlformats.org/officeDocument/2006/relationships/hyperlink" Target="https://www.canada.ca/en/employment-social-development/programs/ei/ei-list/ei-employers-maternity-parental-benefit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ncefranco/Library/Group%20Containers/UBF8T346G9.Office/User%20Content.localized/Templates.localized/BA-Template-FINAL.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BA-Template-FINAL.dotx</Template>
  <TotalTime>21</TotalTime>
  <Pages>5</Pages>
  <Words>1518</Words>
  <Characters>7761</Characters>
  <Application>Microsoft Office Word</Application>
  <DocSecurity>0</DocSecurity>
  <Lines>152</Lines>
  <Paragraphs>63</Paragraphs>
  <ScaleCrop>false</ScaleCrop>
  <HeadingPairs>
    <vt:vector size="2" baseType="variant">
      <vt:variant>
        <vt:lpstr>Title</vt:lpstr>
      </vt:variant>
      <vt:variant>
        <vt:i4>1</vt:i4>
      </vt:variant>
    </vt:vector>
  </HeadingPairs>
  <TitlesOfParts>
    <vt:vector size="1" baseType="lpstr">
      <vt:lpstr>BA Docs Template</vt:lpstr>
    </vt:vector>
  </TitlesOfParts>
  <Manager/>
  <Company/>
  <LinksUpToDate>false</LinksUpToDate>
  <CharactersWithSpaces>9216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Docs Template</dc:title>
  <dc:subject/>
  <dc:creator>Vince Franco</dc:creator>
  <cp:keywords/>
  <dc:description/>
  <cp:lastModifiedBy>Vince Franco</cp:lastModifiedBy>
  <cp:revision>2</cp:revision>
  <dcterms:created xsi:type="dcterms:W3CDTF">2018-07-25T18:40:00Z</dcterms:created>
  <dcterms:modified xsi:type="dcterms:W3CDTF">2018-07-25T19:05:00Z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