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27071806"/>
        <w:docPartObj>
          <w:docPartGallery w:val="Cover Pages"/>
          <w:docPartUnique/>
        </w:docPartObj>
      </w:sdtPr>
      <w:sdtEndPr>
        <w:rPr>
          <w:rFonts w:cs="Arial"/>
          <w:b/>
          <w:caps/>
          <w:color w:val="38939B"/>
          <w:sz w:val="28"/>
        </w:rPr>
      </w:sdtEndPr>
      <w:sdtContent>
        <w:p w14:paraId="6257F60C" w14:textId="3F2BD5C9" w:rsidR="00055E3A" w:rsidRDefault="00055E3A"/>
        <w:p w14:paraId="75F857DF" w14:textId="2ED7E7BA" w:rsidR="00055E3A" w:rsidRDefault="00055E3A">
          <w:pPr>
            <w:spacing w:after="160" w:line="259" w:lineRule="auto"/>
            <w:jc w:val="left"/>
            <w:rPr>
              <w:rFonts w:cs="Arial"/>
              <w:b/>
              <w:caps/>
              <w:color w:val="38939B"/>
              <w:sz w:val="28"/>
            </w:rPr>
          </w:pPr>
          <w:r>
            <w:rPr>
              <w:noProof/>
            </w:rPr>
            <mc:AlternateContent>
              <mc:Choice Requires="wps">
                <w:drawing>
                  <wp:anchor distT="0" distB="0" distL="114300" distR="114300" simplePos="0" relativeHeight="251662336" behindDoc="0" locked="0" layoutInCell="1" allowOverlap="1" wp14:anchorId="4DFB0739" wp14:editId="32510367">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highlight w:val="yellow"/>
                                  </w:rPr>
                                  <w:alias w:val="Publish Date"/>
                                  <w:tag w:val=""/>
                                  <w:id w:val="400952559"/>
                                  <w:dataBinding w:prefixMappings="xmlns:ns0='http://schemas.microsoft.com/office/2006/coverPageProps' " w:xpath="/ns0:CoverPageProperties[1]/ns0:PublishDate[1]" w:storeItemID="{55AF091B-3C7A-41E3-B477-F2FDAA23CFDA}"/>
                                  <w:date w:fullDate="2020-01-01T00:00:00Z">
                                    <w:dateFormat w:val="MMMM d, yyyy"/>
                                    <w:lid w:val="en-US"/>
                                    <w:storeMappedDataAs w:val="dateTime"/>
                                    <w:calendar w:val="gregorian"/>
                                  </w:date>
                                </w:sdtPr>
                                <w:sdtEndPr/>
                                <w:sdtContent>
                                  <w:p w14:paraId="40F4132D" w14:textId="09FB87DD" w:rsidR="00055E3A" w:rsidRDefault="00055E3A">
                                    <w:pPr>
                                      <w:pStyle w:val="NoSpacing"/>
                                      <w:jc w:val="right"/>
                                      <w:rPr>
                                        <w:caps/>
                                        <w:color w:val="323E4F" w:themeColor="text2" w:themeShade="BF"/>
                                        <w:sz w:val="40"/>
                                        <w:szCs w:val="40"/>
                                      </w:rPr>
                                    </w:pPr>
                                    <w:r w:rsidRPr="006C06FF">
                                      <w:rPr>
                                        <w:caps/>
                                        <w:color w:val="323E4F" w:themeColor="text2" w:themeShade="BF"/>
                                        <w:sz w:val="40"/>
                                        <w:szCs w:val="40"/>
                                        <w:highlight w:val="yellow"/>
                                      </w:rPr>
                                      <w:t>January 1,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4DFB0739"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323E4F" w:themeColor="text2" w:themeShade="BF"/>
                              <w:sz w:val="40"/>
                              <w:szCs w:val="40"/>
                              <w:highlight w:val="yellow"/>
                            </w:rPr>
                            <w:alias w:val="Publish Date"/>
                            <w:tag w:val=""/>
                            <w:id w:val="400952559"/>
                            <w:dataBinding w:prefixMappings="xmlns:ns0='http://schemas.microsoft.com/office/2006/coverPageProps' " w:xpath="/ns0:CoverPageProperties[1]/ns0:PublishDate[1]" w:storeItemID="{55AF091B-3C7A-41E3-B477-F2FDAA23CFDA}"/>
                            <w:date w:fullDate="2020-01-01T00:00:00Z">
                              <w:dateFormat w:val="MMMM d, yyyy"/>
                              <w:lid w:val="en-US"/>
                              <w:storeMappedDataAs w:val="dateTime"/>
                              <w:calendar w:val="gregorian"/>
                            </w:date>
                          </w:sdtPr>
                          <w:sdtEndPr/>
                          <w:sdtContent>
                            <w:p w14:paraId="40F4132D" w14:textId="09FB87DD" w:rsidR="00055E3A" w:rsidRDefault="00055E3A">
                              <w:pPr>
                                <w:pStyle w:val="NoSpacing"/>
                                <w:jc w:val="right"/>
                                <w:rPr>
                                  <w:caps/>
                                  <w:color w:val="323E4F" w:themeColor="text2" w:themeShade="BF"/>
                                  <w:sz w:val="40"/>
                                  <w:szCs w:val="40"/>
                                </w:rPr>
                              </w:pPr>
                              <w:r w:rsidRPr="006C06FF">
                                <w:rPr>
                                  <w:caps/>
                                  <w:color w:val="323E4F" w:themeColor="text2" w:themeShade="BF"/>
                                  <w:sz w:val="40"/>
                                  <w:szCs w:val="40"/>
                                  <w:highlight w:val="yellow"/>
                                </w:rPr>
                                <w:t>January 1, 2020</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8FC5D42" wp14:editId="34929AD3">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highlight w:val="yellow"/>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3A12B319" w14:textId="2AF0B835" w:rsidR="00055E3A" w:rsidRPr="006C06FF" w:rsidRDefault="00055E3A">
                                    <w:pPr>
                                      <w:pStyle w:val="NoSpacing"/>
                                      <w:jc w:val="right"/>
                                      <w:rPr>
                                        <w:caps/>
                                        <w:color w:val="262626" w:themeColor="text1" w:themeTint="D9"/>
                                        <w:sz w:val="28"/>
                                        <w:szCs w:val="28"/>
                                        <w:highlight w:val="yellow"/>
                                      </w:rPr>
                                    </w:pPr>
                                    <w:r w:rsidRPr="006C06FF">
                                      <w:rPr>
                                        <w:caps/>
                                        <w:color w:val="262626" w:themeColor="text1" w:themeTint="D9"/>
                                        <w:sz w:val="28"/>
                                        <w:szCs w:val="28"/>
                                        <w:highlight w:val="yellow"/>
                                      </w:rPr>
                                      <w:t>client name</w:t>
                                    </w:r>
                                  </w:p>
                                </w:sdtContent>
                              </w:sdt>
                              <w:p w14:paraId="5BC22537" w14:textId="77777777" w:rsidR="00055E3A" w:rsidRDefault="00F055A9">
                                <w:pPr>
                                  <w:pStyle w:val="NoSpacing"/>
                                  <w:jc w:val="right"/>
                                  <w:rPr>
                                    <w:caps/>
                                    <w:color w:val="262626" w:themeColor="text1" w:themeTint="D9"/>
                                    <w:sz w:val="20"/>
                                    <w:szCs w:val="20"/>
                                  </w:rPr>
                                </w:pPr>
                                <w:sdt>
                                  <w:sdtPr>
                                    <w:rPr>
                                      <w:color w:val="262626" w:themeColor="text1" w:themeTint="D9"/>
                                      <w:sz w:val="20"/>
                                      <w:szCs w:val="20"/>
                                      <w:highlight w:val="yellow"/>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055E3A" w:rsidRPr="006C06FF">
                                      <w:rPr>
                                        <w:color w:val="262626" w:themeColor="text1" w:themeTint="D9"/>
                                        <w:sz w:val="20"/>
                                        <w:szCs w:val="20"/>
                                        <w:highlight w:val="yellow"/>
                                      </w:rPr>
                                      <w:t>[Company address]</w:t>
                                    </w:r>
                                  </w:sdtContent>
                                </w:sdt>
                                <w:r w:rsidR="00055E3A">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68FC5D42"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sdt>
                          <w:sdtPr>
                            <w:rPr>
                              <w:caps/>
                              <w:color w:val="262626" w:themeColor="text1" w:themeTint="D9"/>
                              <w:sz w:val="28"/>
                              <w:szCs w:val="28"/>
                              <w:highlight w:val="yellow"/>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3A12B319" w14:textId="2AF0B835" w:rsidR="00055E3A" w:rsidRPr="006C06FF" w:rsidRDefault="00055E3A">
                              <w:pPr>
                                <w:pStyle w:val="NoSpacing"/>
                                <w:jc w:val="right"/>
                                <w:rPr>
                                  <w:caps/>
                                  <w:color w:val="262626" w:themeColor="text1" w:themeTint="D9"/>
                                  <w:sz w:val="28"/>
                                  <w:szCs w:val="28"/>
                                  <w:highlight w:val="yellow"/>
                                </w:rPr>
                              </w:pPr>
                              <w:r w:rsidRPr="006C06FF">
                                <w:rPr>
                                  <w:caps/>
                                  <w:color w:val="262626" w:themeColor="text1" w:themeTint="D9"/>
                                  <w:sz w:val="28"/>
                                  <w:szCs w:val="28"/>
                                  <w:highlight w:val="yellow"/>
                                </w:rPr>
                                <w:t>client name</w:t>
                              </w:r>
                            </w:p>
                          </w:sdtContent>
                        </w:sdt>
                        <w:p w14:paraId="5BC22537" w14:textId="77777777" w:rsidR="00055E3A" w:rsidRDefault="00F055A9">
                          <w:pPr>
                            <w:pStyle w:val="NoSpacing"/>
                            <w:jc w:val="right"/>
                            <w:rPr>
                              <w:caps/>
                              <w:color w:val="262626" w:themeColor="text1" w:themeTint="D9"/>
                              <w:sz w:val="20"/>
                              <w:szCs w:val="20"/>
                            </w:rPr>
                          </w:pPr>
                          <w:sdt>
                            <w:sdtPr>
                              <w:rPr>
                                <w:color w:val="262626" w:themeColor="text1" w:themeTint="D9"/>
                                <w:sz w:val="20"/>
                                <w:szCs w:val="20"/>
                                <w:highlight w:val="yellow"/>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055E3A" w:rsidRPr="006C06FF">
                                <w:rPr>
                                  <w:color w:val="262626" w:themeColor="text1" w:themeTint="D9"/>
                                  <w:sz w:val="20"/>
                                  <w:szCs w:val="20"/>
                                  <w:highlight w:val="yellow"/>
                                </w:rPr>
                                <w:t>[Company address]</w:t>
                              </w:r>
                            </w:sdtContent>
                          </w:sdt>
                          <w:r w:rsidR="00055E3A">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74A4F11" wp14:editId="78C824C7">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DAFE5" w14:textId="07607979" w:rsidR="00055E3A" w:rsidRDefault="00F055A9">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055E3A">
                                      <w:rPr>
                                        <w:caps/>
                                        <w:color w:val="323E4F" w:themeColor="text2" w:themeShade="BF"/>
                                        <w:sz w:val="52"/>
                                        <w:szCs w:val="52"/>
                                      </w:rPr>
                                      <w:t>Statement of investment policie</w:t>
                                    </w:r>
                                    <w:r w:rsidR="004C0D8C">
                                      <w:rPr>
                                        <w:caps/>
                                        <w:color w:val="323E4F" w:themeColor="text2" w:themeShade="BF"/>
                                        <w:sz w:val="52"/>
                                        <w:szCs w:val="52"/>
                                      </w:rPr>
                                      <w:t>s</w:t>
                                    </w:r>
                                    <w:r w:rsidR="00055E3A">
                                      <w:rPr>
                                        <w:caps/>
                                        <w:color w:val="323E4F" w:themeColor="text2" w:themeShade="BF"/>
                                        <w:sz w:val="52"/>
                                        <w:szCs w:val="52"/>
                                      </w:rPr>
                                      <w:t xml:space="preserve"> &amp; procedures</w:t>
                                    </w:r>
                                    <w:r w:rsidR="000D615E">
                                      <w:rPr>
                                        <w:caps/>
                                        <w:color w:val="323E4F" w:themeColor="text2" w:themeShade="BF"/>
                                        <w:sz w:val="52"/>
                                        <w:szCs w:val="52"/>
                                      </w:rPr>
                                      <w:t xml:space="preserve"> (SIPP)</w:t>
                                    </w:r>
                                  </w:sdtContent>
                                </w:sdt>
                              </w:p>
                              <w:sdt>
                                <w:sdtPr>
                                  <w:rPr>
                                    <w:smallCaps/>
                                    <w:color w:val="44546A" w:themeColor="text2"/>
                                    <w:sz w:val="36"/>
                                    <w:szCs w:val="36"/>
                                    <w:highlight w:val="yellow"/>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66C1A201" w14:textId="1134EE09" w:rsidR="00055E3A" w:rsidRDefault="00055E3A">
                                    <w:pPr>
                                      <w:pStyle w:val="NoSpacing"/>
                                      <w:jc w:val="right"/>
                                      <w:rPr>
                                        <w:smallCaps/>
                                        <w:color w:val="44546A" w:themeColor="text2"/>
                                        <w:sz w:val="36"/>
                                        <w:szCs w:val="36"/>
                                      </w:rPr>
                                    </w:pPr>
                                    <w:r w:rsidRPr="006C06FF">
                                      <w:rPr>
                                        <w:smallCaps/>
                                        <w:color w:val="44546A" w:themeColor="text2"/>
                                        <w:sz w:val="36"/>
                                        <w:szCs w:val="36"/>
                                        <w:highlight w:val="yellow"/>
                                      </w:rPr>
                                      <w:t>governance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774A4F11"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hleQ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" filled="f" stroked="f" strokeweight=".5pt">
                    <v:textbox inset="0,0,0,0">
                      <w:txbxContent>
                        <w:p w14:paraId="0F2DAFE5" w14:textId="07607979" w:rsidR="00055E3A" w:rsidRDefault="00F055A9">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055E3A">
                                <w:rPr>
                                  <w:caps/>
                                  <w:color w:val="323E4F" w:themeColor="text2" w:themeShade="BF"/>
                                  <w:sz w:val="52"/>
                                  <w:szCs w:val="52"/>
                                </w:rPr>
                                <w:t>Statement of investment policie</w:t>
                              </w:r>
                              <w:r w:rsidR="004C0D8C">
                                <w:rPr>
                                  <w:caps/>
                                  <w:color w:val="323E4F" w:themeColor="text2" w:themeShade="BF"/>
                                  <w:sz w:val="52"/>
                                  <w:szCs w:val="52"/>
                                </w:rPr>
                                <w:t>s</w:t>
                              </w:r>
                              <w:r w:rsidR="00055E3A">
                                <w:rPr>
                                  <w:caps/>
                                  <w:color w:val="323E4F" w:themeColor="text2" w:themeShade="BF"/>
                                  <w:sz w:val="52"/>
                                  <w:szCs w:val="52"/>
                                </w:rPr>
                                <w:t xml:space="preserve"> &amp; procedures</w:t>
                              </w:r>
                              <w:r w:rsidR="000D615E">
                                <w:rPr>
                                  <w:caps/>
                                  <w:color w:val="323E4F" w:themeColor="text2" w:themeShade="BF"/>
                                  <w:sz w:val="52"/>
                                  <w:szCs w:val="52"/>
                                </w:rPr>
                                <w:t xml:space="preserve"> (SIPP)</w:t>
                              </w:r>
                            </w:sdtContent>
                          </w:sdt>
                        </w:p>
                        <w:sdt>
                          <w:sdtPr>
                            <w:rPr>
                              <w:smallCaps/>
                              <w:color w:val="44546A" w:themeColor="text2"/>
                              <w:sz w:val="36"/>
                              <w:szCs w:val="36"/>
                              <w:highlight w:val="yellow"/>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66C1A201" w14:textId="1134EE09" w:rsidR="00055E3A" w:rsidRDefault="00055E3A">
                              <w:pPr>
                                <w:pStyle w:val="NoSpacing"/>
                                <w:jc w:val="right"/>
                                <w:rPr>
                                  <w:smallCaps/>
                                  <w:color w:val="44546A" w:themeColor="text2"/>
                                  <w:sz w:val="36"/>
                                  <w:szCs w:val="36"/>
                                </w:rPr>
                              </w:pPr>
                              <w:r w:rsidRPr="006C06FF">
                                <w:rPr>
                                  <w:smallCaps/>
                                  <w:color w:val="44546A" w:themeColor="text2"/>
                                  <w:sz w:val="36"/>
                                  <w:szCs w:val="36"/>
                                  <w:highlight w:val="yellow"/>
                                </w:rPr>
                                <w:t>governance 2020</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3137CBD2" wp14:editId="449315EC">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CA1F7CF"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Pr>
              <w:rFonts w:cs="Arial"/>
              <w:b/>
              <w:caps/>
              <w:color w:val="38939B"/>
              <w:sz w:val="28"/>
            </w:rPr>
            <w:br w:type="page"/>
          </w:r>
        </w:p>
      </w:sdtContent>
    </w:sdt>
    <w:p w14:paraId="77D96D46" w14:textId="2C3DBDFC" w:rsidR="00055E3A" w:rsidRPr="00417097" w:rsidRDefault="00055E3A" w:rsidP="00055E3A">
      <w:pPr>
        <w:jc w:val="left"/>
        <w:rPr>
          <w:rFonts w:asciiTheme="minorHAnsi" w:hAnsiTheme="minorHAnsi" w:cstheme="minorHAnsi"/>
          <w:b/>
          <w:caps/>
          <w:color w:val="38939B"/>
          <w:sz w:val="28"/>
        </w:rPr>
      </w:pPr>
      <w:r w:rsidRPr="00417097">
        <w:rPr>
          <w:rFonts w:asciiTheme="minorHAnsi" w:hAnsiTheme="minorHAnsi" w:cstheme="minorHAnsi"/>
          <w:b/>
          <w:caps/>
          <w:color w:val="38939B"/>
          <w:sz w:val="28"/>
        </w:rPr>
        <w:lastRenderedPageBreak/>
        <w:t>Table of Contents</w:t>
      </w:r>
      <w:bookmarkStart w:id="0" w:name="_Toc52334361"/>
      <w:bookmarkStart w:id="1" w:name="_Toc121639622"/>
      <w:bookmarkStart w:id="2" w:name="_Toc248221032"/>
      <w:bookmarkStart w:id="3" w:name="_Toc248224080"/>
    </w:p>
    <w:p w14:paraId="6B421FD9" w14:textId="77777777" w:rsidR="00055E3A" w:rsidRPr="00417097" w:rsidRDefault="00055E3A" w:rsidP="00055E3A">
      <w:pPr>
        <w:spacing w:line="276" w:lineRule="auto"/>
        <w:jc w:val="left"/>
        <w:rPr>
          <w:rFonts w:asciiTheme="minorHAnsi" w:hAnsiTheme="minorHAnsi" w:cstheme="minorHAnsi"/>
          <w:b/>
          <w:sz w:val="28"/>
        </w:rPr>
      </w:pPr>
    </w:p>
    <w:p w14:paraId="62CCA6C4" w14:textId="77777777" w:rsidR="00055E3A" w:rsidRPr="00417097" w:rsidRDefault="00055E3A" w:rsidP="00055E3A">
      <w:pPr>
        <w:pStyle w:val="TOC1"/>
        <w:tabs>
          <w:tab w:val="right" w:leader="dot" w:pos="9962"/>
        </w:tabs>
        <w:rPr>
          <w:rFonts w:asciiTheme="minorHAnsi" w:eastAsiaTheme="minorEastAsia" w:hAnsiTheme="minorHAnsi" w:cstheme="minorHAnsi"/>
          <w:b w:val="0"/>
          <w:caps w:val="0"/>
          <w:noProof/>
          <w:sz w:val="22"/>
          <w:szCs w:val="22"/>
          <w:lang w:val="en-CA" w:eastAsia="en-CA"/>
        </w:rPr>
      </w:pPr>
      <w:r w:rsidRPr="00417097">
        <w:rPr>
          <w:rFonts w:asciiTheme="minorHAnsi" w:hAnsiTheme="minorHAnsi" w:cstheme="minorHAnsi"/>
          <w:i/>
          <w:smallCaps/>
          <w:sz w:val="22"/>
          <w:szCs w:val="22"/>
        </w:rPr>
        <w:fldChar w:fldCharType="begin"/>
      </w:r>
      <w:r w:rsidRPr="00417097">
        <w:rPr>
          <w:rFonts w:asciiTheme="minorHAnsi" w:hAnsiTheme="minorHAnsi" w:cstheme="minorHAnsi"/>
          <w:sz w:val="22"/>
          <w:szCs w:val="22"/>
        </w:rPr>
        <w:instrText xml:space="preserve"> TOC \o "1-3" \h \z \u </w:instrText>
      </w:r>
      <w:r w:rsidRPr="00417097">
        <w:rPr>
          <w:rFonts w:asciiTheme="minorHAnsi" w:hAnsiTheme="minorHAnsi" w:cstheme="minorHAnsi"/>
          <w:i/>
          <w:smallCaps/>
          <w:sz w:val="22"/>
          <w:szCs w:val="22"/>
        </w:rPr>
        <w:fldChar w:fldCharType="separate"/>
      </w:r>
      <w:hyperlink w:anchor="_Toc484506907" w:history="1">
        <w:r w:rsidRPr="00417097">
          <w:rPr>
            <w:rStyle w:val="Hyperlink"/>
            <w:rFonts w:asciiTheme="minorHAnsi" w:hAnsiTheme="minorHAnsi" w:cstheme="minorHAnsi"/>
            <w:noProof/>
          </w:rPr>
          <w:t>background and purpose</w:t>
        </w:r>
        <w:r w:rsidRPr="00417097">
          <w:rPr>
            <w:rFonts w:asciiTheme="minorHAnsi" w:hAnsiTheme="minorHAnsi" w:cstheme="minorHAnsi"/>
            <w:noProof/>
            <w:webHidden/>
          </w:rPr>
          <w:tab/>
        </w:r>
        <w:r w:rsidRPr="00417097">
          <w:rPr>
            <w:rFonts w:asciiTheme="minorHAnsi" w:hAnsiTheme="minorHAnsi" w:cstheme="minorHAnsi"/>
            <w:noProof/>
            <w:webHidden/>
          </w:rPr>
          <w:fldChar w:fldCharType="begin"/>
        </w:r>
        <w:r w:rsidRPr="00417097">
          <w:rPr>
            <w:rFonts w:asciiTheme="minorHAnsi" w:hAnsiTheme="minorHAnsi" w:cstheme="minorHAnsi"/>
            <w:noProof/>
            <w:webHidden/>
          </w:rPr>
          <w:instrText xml:space="preserve"> PAGEREF _Toc484506907 \h </w:instrText>
        </w:r>
        <w:r w:rsidRPr="00417097">
          <w:rPr>
            <w:rFonts w:asciiTheme="minorHAnsi" w:hAnsiTheme="minorHAnsi" w:cstheme="minorHAnsi"/>
            <w:noProof/>
            <w:webHidden/>
          </w:rPr>
        </w:r>
        <w:r w:rsidRPr="00417097">
          <w:rPr>
            <w:rFonts w:asciiTheme="minorHAnsi" w:hAnsiTheme="minorHAnsi" w:cstheme="minorHAnsi"/>
            <w:noProof/>
            <w:webHidden/>
          </w:rPr>
          <w:fldChar w:fldCharType="separate"/>
        </w:r>
        <w:r w:rsidRPr="00417097">
          <w:rPr>
            <w:rFonts w:asciiTheme="minorHAnsi" w:hAnsiTheme="minorHAnsi" w:cstheme="minorHAnsi"/>
            <w:noProof/>
            <w:webHidden/>
          </w:rPr>
          <w:t>3</w:t>
        </w:r>
        <w:r w:rsidRPr="00417097">
          <w:rPr>
            <w:rFonts w:asciiTheme="minorHAnsi" w:hAnsiTheme="minorHAnsi" w:cstheme="minorHAnsi"/>
            <w:noProof/>
            <w:webHidden/>
          </w:rPr>
          <w:fldChar w:fldCharType="end"/>
        </w:r>
      </w:hyperlink>
    </w:p>
    <w:p w14:paraId="60268C6F" w14:textId="77777777" w:rsidR="00055E3A" w:rsidRPr="00417097" w:rsidRDefault="00F055A9" w:rsidP="00055E3A">
      <w:pPr>
        <w:pStyle w:val="TOC1"/>
        <w:tabs>
          <w:tab w:val="right" w:leader="dot" w:pos="9962"/>
        </w:tabs>
        <w:rPr>
          <w:rFonts w:asciiTheme="minorHAnsi" w:eastAsiaTheme="minorEastAsia" w:hAnsiTheme="minorHAnsi" w:cstheme="minorHAnsi"/>
          <w:b w:val="0"/>
          <w:caps w:val="0"/>
          <w:noProof/>
          <w:sz w:val="22"/>
          <w:szCs w:val="22"/>
          <w:lang w:val="en-CA" w:eastAsia="en-CA"/>
        </w:rPr>
      </w:pPr>
      <w:hyperlink w:anchor="_Toc484506908" w:history="1">
        <w:r w:rsidR="00055E3A" w:rsidRPr="00417097">
          <w:rPr>
            <w:rStyle w:val="Hyperlink"/>
            <w:rFonts w:asciiTheme="minorHAnsi" w:hAnsiTheme="minorHAnsi" w:cstheme="minorHAnsi"/>
            <w:noProof/>
          </w:rPr>
          <w:t>Objective of the Plan</w:t>
        </w:r>
        <w:r w:rsidR="00055E3A" w:rsidRPr="00417097">
          <w:rPr>
            <w:rFonts w:asciiTheme="minorHAnsi" w:hAnsiTheme="minorHAnsi" w:cstheme="minorHAnsi"/>
            <w:noProof/>
            <w:webHidden/>
          </w:rPr>
          <w:tab/>
        </w:r>
        <w:r w:rsidR="00055E3A" w:rsidRPr="00417097">
          <w:rPr>
            <w:rFonts w:asciiTheme="minorHAnsi" w:hAnsiTheme="minorHAnsi" w:cstheme="minorHAnsi"/>
            <w:noProof/>
            <w:webHidden/>
          </w:rPr>
          <w:fldChar w:fldCharType="begin"/>
        </w:r>
        <w:r w:rsidR="00055E3A" w:rsidRPr="00417097">
          <w:rPr>
            <w:rFonts w:asciiTheme="minorHAnsi" w:hAnsiTheme="minorHAnsi" w:cstheme="minorHAnsi"/>
            <w:noProof/>
            <w:webHidden/>
          </w:rPr>
          <w:instrText xml:space="preserve"> PAGEREF _Toc484506908 \h </w:instrText>
        </w:r>
        <w:r w:rsidR="00055E3A" w:rsidRPr="00417097">
          <w:rPr>
            <w:rFonts w:asciiTheme="minorHAnsi" w:hAnsiTheme="minorHAnsi" w:cstheme="minorHAnsi"/>
            <w:noProof/>
            <w:webHidden/>
          </w:rPr>
        </w:r>
        <w:r w:rsidR="00055E3A" w:rsidRPr="00417097">
          <w:rPr>
            <w:rFonts w:asciiTheme="minorHAnsi" w:hAnsiTheme="minorHAnsi" w:cstheme="minorHAnsi"/>
            <w:noProof/>
            <w:webHidden/>
          </w:rPr>
          <w:fldChar w:fldCharType="separate"/>
        </w:r>
        <w:r w:rsidR="00055E3A" w:rsidRPr="00417097">
          <w:rPr>
            <w:rFonts w:asciiTheme="minorHAnsi" w:hAnsiTheme="minorHAnsi" w:cstheme="minorHAnsi"/>
            <w:noProof/>
            <w:webHidden/>
          </w:rPr>
          <w:t>3</w:t>
        </w:r>
        <w:r w:rsidR="00055E3A" w:rsidRPr="00417097">
          <w:rPr>
            <w:rFonts w:asciiTheme="minorHAnsi" w:hAnsiTheme="minorHAnsi" w:cstheme="minorHAnsi"/>
            <w:noProof/>
            <w:webHidden/>
          </w:rPr>
          <w:fldChar w:fldCharType="end"/>
        </w:r>
      </w:hyperlink>
    </w:p>
    <w:p w14:paraId="41E6795B" w14:textId="77777777" w:rsidR="00055E3A" w:rsidRPr="00417097" w:rsidRDefault="00F055A9" w:rsidP="00055E3A">
      <w:pPr>
        <w:pStyle w:val="TOC1"/>
        <w:tabs>
          <w:tab w:val="right" w:leader="dot" w:pos="9962"/>
        </w:tabs>
        <w:rPr>
          <w:rFonts w:asciiTheme="minorHAnsi" w:eastAsiaTheme="minorEastAsia" w:hAnsiTheme="minorHAnsi" w:cstheme="minorHAnsi"/>
          <w:b w:val="0"/>
          <w:caps w:val="0"/>
          <w:noProof/>
          <w:sz w:val="22"/>
          <w:szCs w:val="22"/>
          <w:lang w:val="en-CA" w:eastAsia="en-CA"/>
        </w:rPr>
      </w:pPr>
      <w:hyperlink w:anchor="_Toc484506909" w:history="1">
        <w:r w:rsidR="00055E3A" w:rsidRPr="00417097">
          <w:rPr>
            <w:rStyle w:val="Hyperlink"/>
            <w:rFonts w:asciiTheme="minorHAnsi" w:hAnsiTheme="minorHAnsi" w:cstheme="minorHAnsi"/>
            <w:noProof/>
          </w:rPr>
          <w:t>Plan Sponsor Responsibilities</w:t>
        </w:r>
        <w:r w:rsidR="00055E3A" w:rsidRPr="00417097">
          <w:rPr>
            <w:rFonts w:asciiTheme="minorHAnsi" w:hAnsiTheme="minorHAnsi" w:cstheme="minorHAnsi"/>
            <w:noProof/>
            <w:webHidden/>
          </w:rPr>
          <w:tab/>
        </w:r>
        <w:r w:rsidR="00055E3A" w:rsidRPr="00417097">
          <w:rPr>
            <w:rFonts w:asciiTheme="minorHAnsi" w:hAnsiTheme="minorHAnsi" w:cstheme="minorHAnsi"/>
            <w:noProof/>
            <w:webHidden/>
          </w:rPr>
          <w:fldChar w:fldCharType="begin"/>
        </w:r>
        <w:r w:rsidR="00055E3A" w:rsidRPr="00417097">
          <w:rPr>
            <w:rFonts w:asciiTheme="minorHAnsi" w:hAnsiTheme="minorHAnsi" w:cstheme="minorHAnsi"/>
            <w:noProof/>
            <w:webHidden/>
          </w:rPr>
          <w:instrText xml:space="preserve"> PAGEREF _Toc484506909 \h </w:instrText>
        </w:r>
        <w:r w:rsidR="00055E3A" w:rsidRPr="00417097">
          <w:rPr>
            <w:rFonts w:asciiTheme="minorHAnsi" w:hAnsiTheme="minorHAnsi" w:cstheme="minorHAnsi"/>
            <w:noProof/>
            <w:webHidden/>
          </w:rPr>
        </w:r>
        <w:r w:rsidR="00055E3A" w:rsidRPr="00417097">
          <w:rPr>
            <w:rFonts w:asciiTheme="minorHAnsi" w:hAnsiTheme="minorHAnsi" w:cstheme="minorHAnsi"/>
            <w:noProof/>
            <w:webHidden/>
          </w:rPr>
          <w:fldChar w:fldCharType="separate"/>
        </w:r>
        <w:r w:rsidR="00055E3A" w:rsidRPr="00417097">
          <w:rPr>
            <w:rFonts w:asciiTheme="minorHAnsi" w:hAnsiTheme="minorHAnsi" w:cstheme="minorHAnsi"/>
            <w:noProof/>
            <w:webHidden/>
          </w:rPr>
          <w:t>3</w:t>
        </w:r>
        <w:r w:rsidR="00055E3A" w:rsidRPr="00417097">
          <w:rPr>
            <w:rFonts w:asciiTheme="minorHAnsi" w:hAnsiTheme="minorHAnsi" w:cstheme="minorHAnsi"/>
            <w:noProof/>
            <w:webHidden/>
          </w:rPr>
          <w:fldChar w:fldCharType="end"/>
        </w:r>
      </w:hyperlink>
    </w:p>
    <w:p w14:paraId="41CA7BA3" w14:textId="77777777" w:rsidR="00055E3A" w:rsidRPr="00417097" w:rsidRDefault="00F055A9" w:rsidP="00055E3A">
      <w:pPr>
        <w:pStyle w:val="TOC1"/>
        <w:tabs>
          <w:tab w:val="right" w:leader="dot" w:pos="9962"/>
        </w:tabs>
        <w:rPr>
          <w:rFonts w:asciiTheme="minorHAnsi" w:eastAsiaTheme="minorEastAsia" w:hAnsiTheme="minorHAnsi" w:cstheme="minorHAnsi"/>
          <w:b w:val="0"/>
          <w:caps w:val="0"/>
          <w:noProof/>
          <w:sz w:val="22"/>
          <w:szCs w:val="22"/>
          <w:lang w:val="en-CA" w:eastAsia="en-CA"/>
        </w:rPr>
      </w:pPr>
      <w:hyperlink w:anchor="_Toc484506910" w:history="1">
        <w:r w:rsidR="00055E3A" w:rsidRPr="00417097">
          <w:rPr>
            <w:rStyle w:val="Hyperlink"/>
            <w:rFonts w:asciiTheme="minorHAnsi" w:hAnsiTheme="minorHAnsi" w:cstheme="minorHAnsi"/>
            <w:noProof/>
          </w:rPr>
          <w:t>Duties of the Plan Sponsor (or its designate)</w:t>
        </w:r>
        <w:r w:rsidR="00055E3A" w:rsidRPr="00417097">
          <w:rPr>
            <w:rFonts w:asciiTheme="minorHAnsi" w:hAnsiTheme="minorHAnsi" w:cstheme="minorHAnsi"/>
            <w:noProof/>
            <w:webHidden/>
          </w:rPr>
          <w:tab/>
        </w:r>
        <w:r w:rsidR="00055E3A" w:rsidRPr="00417097">
          <w:rPr>
            <w:rFonts w:asciiTheme="minorHAnsi" w:hAnsiTheme="minorHAnsi" w:cstheme="minorHAnsi"/>
            <w:noProof/>
            <w:webHidden/>
          </w:rPr>
          <w:fldChar w:fldCharType="begin"/>
        </w:r>
        <w:r w:rsidR="00055E3A" w:rsidRPr="00417097">
          <w:rPr>
            <w:rFonts w:asciiTheme="minorHAnsi" w:hAnsiTheme="minorHAnsi" w:cstheme="minorHAnsi"/>
            <w:noProof/>
            <w:webHidden/>
          </w:rPr>
          <w:instrText xml:space="preserve"> PAGEREF _Toc484506910 \h </w:instrText>
        </w:r>
        <w:r w:rsidR="00055E3A" w:rsidRPr="00417097">
          <w:rPr>
            <w:rFonts w:asciiTheme="minorHAnsi" w:hAnsiTheme="minorHAnsi" w:cstheme="minorHAnsi"/>
            <w:noProof/>
            <w:webHidden/>
          </w:rPr>
        </w:r>
        <w:r w:rsidR="00055E3A" w:rsidRPr="00417097">
          <w:rPr>
            <w:rFonts w:asciiTheme="minorHAnsi" w:hAnsiTheme="minorHAnsi" w:cstheme="minorHAnsi"/>
            <w:noProof/>
            <w:webHidden/>
          </w:rPr>
          <w:fldChar w:fldCharType="separate"/>
        </w:r>
        <w:r w:rsidR="00055E3A" w:rsidRPr="00417097">
          <w:rPr>
            <w:rFonts w:asciiTheme="minorHAnsi" w:hAnsiTheme="minorHAnsi" w:cstheme="minorHAnsi"/>
            <w:noProof/>
            <w:webHidden/>
          </w:rPr>
          <w:t>3</w:t>
        </w:r>
        <w:r w:rsidR="00055E3A" w:rsidRPr="00417097">
          <w:rPr>
            <w:rFonts w:asciiTheme="minorHAnsi" w:hAnsiTheme="minorHAnsi" w:cstheme="minorHAnsi"/>
            <w:noProof/>
            <w:webHidden/>
          </w:rPr>
          <w:fldChar w:fldCharType="end"/>
        </w:r>
      </w:hyperlink>
    </w:p>
    <w:p w14:paraId="0FF6056B" w14:textId="77777777" w:rsidR="00055E3A" w:rsidRPr="00417097" w:rsidRDefault="00F055A9" w:rsidP="00055E3A">
      <w:pPr>
        <w:pStyle w:val="TOC1"/>
        <w:tabs>
          <w:tab w:val="right" w:leader="dot" w:pos="9962"/>
        </w:tabs>
        <w:rPr>
          <w:rFonts w:asciiTheme="minorHAnsi" w:eastAsiaTheme="minorEastAsia" w:hAnsiTheme="minorHAnsi" w:cstheme="minorHAnsi"/>
          <w:b w:val="0"/>
          <w:caps w:val="0"/>
          <w:noProof/>
          <w:sz w:val="22"/>
          <w:szCs w:val="22"/>
          <w:lang w:val="en-CA" w:eastAsia="en-CA"/>
        </w:rPr>
      </w:pPr>
      <w:hyperlink w:anchor="_Toc484506911" w:history="1">
        <w:r w:rsidR="00055E3A" w:rsidRPr="00417097">
          <w:rPr>
            <w:rStyle w:val="Hyperlink"/>
            <w:rFonts w:asciiTheme="minorHAnsi" w:hAnsiTheme="minorHAnsi" w:cstheme="minorHAnsi"/>
            <w:noProof/>
          </w:rPr>
          <w:t>Funding Structure</w:t>
        </w:r>
        <w:r w:rsidR="00055E3A" w:rsidRPr="00417097">
          <w:rPr>
            <w:rFonts w:asciiTheme="minorHAnsi" w:hAnsiTheme="minorHAnsi" w:cstheme="minorHAnsi"/>
            <w:noProof/>
            <w:webHidden/>
          </w:rPr>
          <w:tab/>
        </w:r>
        <w:r w:rsidR="00055E3A" w:rsidRPr="00417097">
          <w:rPr>
            <w:rFonts w:asciiTheme="minorHAnsi" w:hAnsiTheme="minorHAnsi" w:cstheme="minorHAnsi"/>
            <w:noProof/>
            <w:webHidden/>
          </w:rPr>
          <w:fldChar w:fldCharType="begin"/>
        </w:r>
        <w:r w:rsidR="00055E3A" w:rsidRPr="00417097">
          <w:rPr>
            <w:rFonts w:asciiTheme="minorHAnsi" w:hAnsiTheme="minorHAnsi" w:cstheme="minorHAnsi"/>
            <w:noProof/>
            <w:webHidden/>
          </w:rPr>
          <w:instrText xml:space="preserve"> PAGEREF _Toc484506911 \h </w:instrText>
        </w:r>
        <w:r w:rsidR="00055E3A" w:rsidRPr="00417097">
          <w:rPr>
            <w:rFonts w:asciiTheme="minorHAnsi" w:hAnsiTheme="minorHAnsi" w:cstheme="minorHAnsi"/>
            <w:noProof/>
            <w:webHidden/>
          </w:rPr>
        </w:r>
        <w:r w:rsidR="00055E3A" w:rsidRPr="00417097">
          <w:rPr>
            <w:rFonts w:asciiTheme="minorHAnsi" w:hAnsiTheme="minorHAnsi" w:cstheme="minorHAnsi"/>
            <w:noProof/>
            <w:webHidden/>
          </w:rPr>
          <w:fldChar w:fldCharType="separate"/>
        </w:r>
        <w:r w:rsidR="00055E3A" w:rsidRPr="00417097">
          <w:rPr>
            <w:rFonts w:asciiTheme="minorHAnsi" w:hAnsiTheme="minorHAnsi" w:cstheme="minorHAnsi"/>
            <w:noProof/>
            <w:webHidden/>
          </w:rPr>
          <w:t>3</w:t>
        </w:r>
        <w:r w:rsidR="00055E3A" w:rsidRPr="00417097">
          <w:rPr>
            <w:rFonts w:asciiTheme="minorHAnsi" w:hAnsiTheme="minorHAnsi" w:cstheme="minorHAnsi"/>
            <w:noProof/>
            <w:webHidden/>
          </w:rPr>
          <w:fldChar w:fldCharType="end"/>
        </w:r>
      </w:hyperlink>
    </w:p>
    <w:p w14:paraId="6C3A8E3E" w14:textId="77777777" w:rsidR="00055E3A" w:rsidRPr="00417097" w:rsidRDefault="00F055A9" w:rsidP="00055E3A">
      <w:pPr>
        <w:pStyle w:val="TOC1"/>
        <w:tabs>
          <w:tab w:val="right" w:leader="dot" w:pos="9962"/>
        </w:tabs>
        <w:rPr>
          <w:rFonts w:asciiTheme="minorHAnsi" w:eastAsiaTheme="minorEastAsia" w:hAnsiTheme="minorHAnsi" w:cstheme="minorHAnsi"/>
          <w:b w:val="0"/>
          <w:caps w:val="0"/>
          <w:noProof/>
          <w:sz w:val="22"/>
          <w:szCs w:val="22"/>
          <w:lang w:val="en-CA" w:eastAsia="en-CA"/>
        </w:rPr>
      </w:pPr>
      <w:hyperlink w:anchor="_Toc484506912" w:history="1">
        <w:r w:rsidR="00055E3A" w:rsidRPr="00417097">
          <w:rPr>
            <w:rStyle w:val="Hyperlink"/>
            <w:rFonts w:asciiTheme="minorHAnsi" w:hAnsiTheme="minorHAnsi" w:cstheme="minorHAnsi"/>
            <w:noProof/>
          </w:rPr>
          <w:t>Investment Principles</w:t>
        </w:r>
        <w:r w:rsidR="00055E3A" w:rsidRPr="00417097">
          <w:rPr>
            <w:rFonts w:asciiTheme="minorHAnsi" w:hAnsiTheme="minorHAnsi" w:cstheme="minorHAnsi"/>
            <w:noProof/>
            <w:webHidden/>
          </w:rPr>
          <w:tab/>
        </w:r>
        <w:r w:rsidR="00055E3A" w:rsidRPr="00417097">
          <w:rPr>
            <w:rFonts w:asciiTheme="minorHAnsi" w:hAnsiTheme="minorHAnsi" w:cstheme="minorHAnsi"/>
            <w:noProof/>
            <w:webHidden/>
          </w:rPr>
          <w:fldChar w:fldCharType="begin"/>
        </w:r>
        <w:r w:rsidR="00055E3A" w:rsidRPr="00417097">
          <w:rPr>
            <w:rFonts w:asciiTheme="minorHAnsi" w:hAnsiTheme="minorHAnsi" w:cstheme="minorHAnsi"/>
            <w:noProof/>
            <w:webHidden/>
          </w:rPr>
          <w:instrText xml:space="preserve"> PAGEREF _Toc484506912 \h </w:instrText>
        </w:r>
        <w:r w:rsidR="00055E3A" w:rsidRPr="00417097">
          <w:rPr>
            <w:rFonts w:asciiTheme="minorHAnsi" w:hAnsiTheme="minorHAnsi" w:cstheme="minorHAnsi"/>
            <w:noProof/>
            <w:webHidden/>
          </w:rPr>
        </w:r>
        <w:r w:rsidR="00055E3A" w:rsidRPr="00417097">
          <w:rPr>
            <w:rFonts w:asciiTheme="minorHAnsi" w:hAnsiTheme="minorHAnsi" w:cstheme="minorHAnsi"/>
            <w:noProof/>
            <w:webHidden/>
          </w:rPr>
          <w:fldChar w:fldCharType="separate"/>
        </w:r>
        <w:r w:rsidR="00055E3A" w:rsidRPr="00417097">
          <w:rPr>
            <w:rFonts w:asciiTheme="minorHAnsi" w:hAnsiTheme="minorHAnsi" w:cstheme="minorHAnsi"/>
            <w:noProof/>
            <w:webHidden/>
          </w:rPr>
          <w:t>4</w:t>
        </w:r>
        <w:r w:rsidR="00055E3A" w:rsidRPr="00417097">
          <w:rPr>
            <w:rFonts w:asciiTheme="minorHAnsi" w:hAnsiTheme="minorHAnsi" w:cstheme="minorHAnsi"/>
            <w:noProof/>
            <w:webHidden/>
          </w:rPr>
          <w:fldChar w:fldCharType="end"/>
        </w:r>
      </w:hyperlink>
    </w:p>
    <w:p w14:paraId="1D6FDF74" w14:textId="77777777" w:rsidR="00055E3A" w:rsidRPr="00417097" w:rsidRDefault="00F055A9" w:rsidP="00055E3A">
      <w:pPr>
        <w:pStyle w:val="TOC1"/>
        <w:tabs>
          <w:tab w:val="right" w:leader="dot" w:pos="9962"/>
        </w:tabs>
        <w:rPr>
          <w:rFonts w:asciiTheme="minorHAnsi" w:eastAsiaTheme="minorEastAsia" w:hAnsiTheme="minorHAnsi" w:cstheme="minorHAnsi"/>
          <w:b w:val="0"/>
          <w:caps w:val="0"/>
          <w:noProof/>
          <w:sz w:val="22"/>
          <w:szCs w:val="22"/>
          <w:lang w:val="en-CA" w:eastAsia="en-CA"/>
        </w:rPr>
      </w:pPr>
      <w:hyperlink w:anchor="_Toc484506913" w:history="1">
        <w:r w:rsidR="00055E3A" w:rsidRPr="00417097">
          <w:rPr>
            <w:rStyle w:val="Hyperlink"/>
            <w:rFonts w:asciiTheme="minorHAnsi" w:hAnsiTheme="minorHAnsi" w:cstheme="minorHAnsi"/>
            <w:noProof/>
          </w:rPr>
          <w:t>Selection of Investment Options</w:t>
        </w:r>
        <w:r w:rsidR="00055E3A" w:rsidRPr="00417097">
          <w:rPr>
            <w:rFonts w:asciiTheme="minorHAnsi" w:hAnsiTheme="minorHAnsi" w:cstheme="minorHAnsi"/>
            <w:noProof/>
            <w:webHidden/>
          </w:rPr>
          <w:tab/>
        </w:r>
        <w:r w:rsidR="00055E3A" w:rsidRPr="00417097">
          <w:rPr>
            <w:rFonts w:asciiTheme="minorHAnsi" w:hAnsiTheme="minorHAnsi" w:cstheme="minorHAnsi"/>
            <w:noProof/>
            <w:webHidden/>
          </w:rPr>
          <w:fldChar w:fldCharType="begin"/>
        </w:r>
        <w:r w:rsidR="00055E3A" w:rsidRPr="00417097">
          <w:rPr>
            <w:rFonts w:asciiTheme="minorHAnsi" w:hAnsiTheme="minorHAnsi" w:cstheme="minorHAnsi"/>
            <w:noProof/>
            <w:webHidden/>
          </w:rPr>
          <w:instrText xml:space="preserve"> PAGEREF _Toc484506913 \h </w:instrText>
        </w:r>
        <w:r w:rsidR="00055E3A" w:rsidRPr="00417097">
          <w:rPr>
            <w:rFonts w:asciiTheme="minorHAnsi" w:hAnsiTheme="minorHAnsi" w:cstheme="minorHAnsi"/>
            <w:noProof/>
            <w:webHidden/>
          </w:rPr>
        </w:r>
        <w:r w:rsidR="00055E3A" w:rsidRPr="00417097">
          <w:rPr>
            <w:rFonts w:asciiTheme="minorHAnsi" w:hAnsiTheme="minorHAnsi" w:cstheme="minorHAnsi"/>
            <w:noProof/>
            <w:webHidden/>
          </w:rPr>
          <w:fldChar w:fldCharType="separate"/>
        </w:r>
        <w:r w:rsidR="00055E3A" w:rsidRPr="00417097">
          <w:rPr>
            <w:rFonts w:asciiTheme="minorHAnsi" w:hAnsiTheme="minorHAnsi" w:cstheme="minorHAnsi"/>
            <w:noProof/>
            <w:webHidden/>
          </w:rPr>
          <w:t>4</w:t>
        </w:r>
        <w:r w:rsidR="00055E3A" w:rsidRPr="00417097">
          <w:rPr>
            <w:rFonts w:asciiTheme="minorHAnsi" w:hAnsiTheme="minorHAnsi" w:cstheme="minorHAnsi"/>
            <w:noProof/>
            <w:webHidden/>
          </w:rPr>
          <w:fldChar w:fldCharType="end"/>
        </w:r>
      </w:hyperlink>
    </w:p>
    <w:p w14:paraId="67DC3397" w14:textId="77777777" w:rsidR="00055E3A" w:rsidRPr="00417097" w:rsidRDefault="00F055A9" w:rsidP="00055E3A">
      <w:pPr>
        <w:pStyle w:val="TOC2"/>
        <w:tabs>
          <w:tab w:val="right" w:leader="dot" w:pos="9962"/>
        </w:tabs>
        <w:rPr>
          <w:rFonts w:asciiTheme="minorHAnsi" w:eastAsiaTheme="minorEastAsia" w:hAnsiTheme="minorHAnsi" w:cstheme="minorHAnsi"/>
          <w:smallCaps w:val="0"/>
          <w:noProof/>
          <w:sz w:val="22"/>
          <w:szCs w:val="22"/>
          <w:lang w:val="en-CA" w:eastAsia="en-CA"/>
        </w:rPr>
      </w:pPr>
      <w:hyperlink w:anchor="_Toc484506914" w:history="1">
        <w:r w:rsidR="00055E3A" w:rsidRPr="00417097">
          <w:rPr>
            <w:rStyle w:val="Hyperlink"/>
            <w:rFonts w:asciiTheme="minorHAnsi" w:hAnsiTheme="minorHAnsi" w:cstheme="minorHAnsi"/>
            <w:noProof/>
          </w:rPr>
          <w:t>Authorized Investment Categories</w:t>
        </w:r>
        <w:r w:rsidR="00055E3A" w:rsidRPr="00417097">
          <w:rPr>
            <w:rFonts w:asciiTheme="minorHAnsi" w:hAnsiTheme="minorHAnsi" w:cstheme="minorHAnsi"/>
            <w:noProof/>
            <w:webHidden/>
          </w:rPr>
          <w:tab/>
        </w:r>
        <w:r w:rsidR="00055E3A" w:rsidRPr="00417097">
          <w:rPr>
            <w:rFonts w:asciiTheme="minorHAnsi" w:hAnsiTheme="minorHAnsi" w:cstheme="minorHAnsi"/>
            <w:noProof/>
            <w:webHidden/>
          </w:rPr>
          <w:fldChar w:fldCharType="begin"/>
        </w:r>
        <w:r w:rsidR="00055E3A" w:rsidRPr="00417097">
          <w:rPr>
            <w:rFonts w:asciiTheme="minorHAnsi" w:hAnsiTheme="minorHAnsi" w:cstheme="minorHAnsi"/>
            <w:noProof/>
            <w:webHidden/>
          </w:rPr>
          <w:instrText xml:space="preserve"> PAGEREF _Toc484506914 \h </w:instrText>
        </w:r>
        <w:r w:rsidR="00055E3A" w:rsidRPr="00417097">
          <w:rPr>
            <w:rFonts w:asciiTheme="minorHAnsi" w:hAnsiTheme="minorHAnsi" w:cstheme="minorHAnsi"/>
            <w:noProof/>
            <w:webHidden/>
          </w:rPr>
        </w:r>
        <w:r w:rsidR="00055E3A" w:rsidRPr="00417097">
          <w:rPr>
            <w:rFonts w:asciiTheme="minorHAnsi" w:hAnsiTheme="minorHAnsi" w:cstheme="minorHAnsi"/>
            <w:noProof/>
            <w:webHidden/>
          </w:rPr>
          <w:fldChar w:fldCharType="separate"/>
        </w:r>
        <w:r w:rsidR="00055E3A" w:rsidRPr="00417097">
          <w:rPr>
            <w:rFonts w:asciiTheme="minorHAnsi" w:hAnsiTheme="minorHAnsi" w:cstheme="minorHAnsi"/>
            <w:noProof/>
            <w:webHidden/>
          </w:rPr>
          <w:t>4</w:t>
        </w:r>
        <w:r w:rsidR="00055E3A" w:rsidRPr="00417097">
          <w:rPr>
            <w:rFonts w:asciiTheme="minorHAnsi" w:hAnsiTheme="minorHAnsi" w:cstheme="minorHAnsi"/>
            <w:noProof/>
            <w:webHidden/>
          </w:rPr>
          <w:fldChar w:fldCharType="end"/>
        </w:r>
      </w:hyperlink>
    </w:p>
    <w:p w14:paraId="05B40884" w14:textId="77777777" w:rsidR="00055E3A" w:rsidRPr="00417097" w:rsidRDefault="00F055A9" w:rsidP="00055E3A">
      <w:pPr>
        <w:pStyle w:val="TOC2"/>
        <w:tabs>
          <w:tab w:val="right" w:leader="dot" w:pos="9962"/>
        </w:tabs>
        <w:rPr>
          <w:rFonts w:asciiTheme="minorHAnsi" w:eastAsiaTheme="minorEastAsia" w:hAnsiTheme="minorHAnsi" w:cstheme="minorHAnsi"/>
          <w:smallCaps w:val="0"/>
          <w:noProof/>
          <w:sz w:val="22"/>
          <w:szCs w:val="22"/>
          <w:lang w:val="en-CA" w:eastAsia="en-CA"/>
        </w:rPr>
      </w:pPr>
      <w:hyperlink w:anchor="_Toc484506915" w:history="1">
        <w:r w:rsidR="00055E3A" w:rsidRPr="00417097">
          <w:rPr>
            <w:rStyle w:val="Hyperlink"/>
            <w:rFonts w:asciiTheme="minorHAnsi" w:hAnsiTheme="minorHAnsi" w:cstheme="minorHAnsi"/>
            <w:noProof/>
          </w:rPr>
          <w:t>Investment Options Offered Under the Plan</w:t>
        </w:r>
        <w:r w:rsidR="00055E3A" w:rsidRPr="00417097">
          <w:rPr>
            <w:rFonts w:asciiTheme="minorHAnsi" w:hAnsiTheme="minorHAnsi" w:cstheme="minorHAnsi"/>
            <w:noProof/>
            <w:webHidden/>
          </w:rPr>
          <w:tab/>
        </w:r>
        <w:r w:rsidR="00055E3A" w:rsidRPr="00417097">
          <w:rPr>
            <w:rFonts w:asciiTheme="minorHAnsi" w:hAnsiTheme="minorHAnsi" w:cstheme="minorHAnsi"/>
            <w:noProof/>
            <w:webHidden/>
          </w:rPr>
          <w:fldChar w:fldCharType="begin"/>
        </w:r>
        <w:r w:rsidR="00055E3A" w:rsidRPr="00417097">
          <w:rPr>
            <w:rFonts w:asciiTheme="minorHAnsi" w:hAnsiTheme="minorHAnsi" w:cstheme="minorHAnsi"/>
            <w:noProof/>
            <w:webHidden/>
          </w:rPr>
          <w:instrText xml:space="preserve"> PAGEREF _Toc484506915 \h </w:instrText>
        </w:r>
        <w:r w:rsidR="00055E3A" w:rsidRPr="00417097">
          <w:rPr>
            <w:rFonts w:asciiTheme="minorHAnsi" w:hAnsiTheme="minorHAnsi" w:cstheme="minorHAnsi"/>
            <w:noProof/>
            <w:webHidden/>
          </w:rPr>
        </w:r>
        <w:r w:rsidR="00055E3A" w:rsidRPr="00417097">
          <w:rPr>
            <w:rFonts w:asciiTheme="minorHAnsi" w:hAnsiTheme="minorHAnsi" w:cstheme="minorHAnsi"/>
            <w:noProof/>
            <w:webHidden/>
          </w:rPr>
          <w:fldChar w:fldCharType="separate"/>
        </w:r>
        <w:r w:rsidR="00055E3A" w:rsidRPr="00417097">
          <w:rPr>
            <w:rFonts w:asciiTheme="minorHAnsi" w:hAnsiTheme="minorHAnsi" w:cstheme="minorHAnsi"/>
            <w:noProof/>
            <w:webHidden/>
          </w:rPr>
          <w:t>5</w:t>
        </w:r>
        <w:r w:rsidR="00055E3A" w:rsidRPr="00417097">
          <w:rPr>
            <w:rFonts w:asciiTheme="minorHAnsi" w:hAnsiTheme="minorHAnsi" w:cstheme="minorHAnsi"/>
            <w:noProof/>
            <w:webHidden/>
          </w:rPr>
          <w:fldChar w:fldCharType="end"/>
        </w:r>
      </w:hyperlink>
    </w:p>
    <w:p w14:paraId="66B76F91" w14:textId="77777777" w:rsidR="00055E3A" w:rsidRPr="00417097" w:rsidRDefault="00F055A9" w:rsidP="00055E3A">
      <w:pPr>
        <w:pStyle w:val="TOC2"/>
        <w:tabs>
          <w:tab w:val="right" w:leader="dot" w:pos="9962"/>
        </w:tabs>
        <w:rPr>
          <w:rFonts w:asciiTheme="minorHAnsi" w:eastAsiaTheme="minorEastAsia" w:hAnsiTheme="minorHAnsi" w:cstheme="minorHAnsi"/>
          <w:smallCaps w:val="0"/>
          <w:noProof/>
          <w:sz w:val="22"/>
          <w:szCs w:val="22"/>
          <w:lang w:val="en-CA" w:eastAsia="en-CA"/>
        </w:rPr>
      </w:pPr>
      <w:hyperlink w:anchor="_Toc484506916" w:history="1">
        <w:r w:rsidR="00055E3A" w:rsidRPr="00417097">
          <w:rPr>
            <w:rStyle w:val="Hyperlink"/>
            <w:rFonts w:asciiTheme="minorHAnsi" w:hAnsiTheme="minorHAnsi" w:cstheme="minorHAnsi"/>
            <w:noProof/>
          </w:rPr>
          <w:t>Default Fund</w:t>
        </w:r>
        <w:r w:rsidR="00055E3A" w:rsidRPr="00417097">
          <w:rPr>
            <w:rFonts w:asciiTheme="minorHAnsi" w:hAnsiTheme="minorHAnsi" w:cstheme="minorHAnsi"/>
            <w:noProof/>
            <w:webHidden/>
          </w:rPr>
          <w:tab/>
        </w:r>
        <w:r w:rsidR="00055E3A" w:rsidRPr="00417097">
          <w:rPr>
            <w:rFonts w:asciiTheme="minorHAnsi" w:hAnsiTheme="minorHAnsi" w:cstheme="minorHAnsi"/>
            <w:noProof/>
            <w:webHidden/>
          </w:rPr>
          <w:fldChar w:fldCharType="begin"/>
        </w:r>
        <w:r w:rsidR="00055E3A" w:rsidRPr="00417097">
          <w:rPr>
            <w:rFonts w:asciiTheme="minorHAnsi" w:hAnsiTheme="minorHAnsi" w:cstheme="minorHAnsi"/>
            <w:noProof/>
            <w:webHidden/>
          </w:rPr>
          <w:instrText xml:space="preserve"> PAGEREF _Toc484506916 \h </w:instrText>
        </w:r>
        <w:r w:rsidR="00055E3A" w:rsidRPr="00417097">
          <w:rPr>
            <w:rFonts w:asciiTheme="minorHAnsi" w:hAnsiTheme="minorHAnsi" w:cstheme="minorHAnsi"/>
            <w:noProof/>
            <w:webHidden/>
          </w:rPr>
        </w:r>
        <w:r w:rsidR="00055E3A" w:rsidRPr="00417097">
          <w:rPr>
            <w:rFonts w:asciiTheme="minorHAnsi" w:hAnsiTheme="minorHAnsi" w:cstheme="minorHAnsi"/>
            <w:noProof/>
            <w:webHidden/>
          </w:rPr>
          <w:fldChar w:fldCharType="separate"/>
        </w:r>
        <w:r w:rsidR="00055E3A" w:rsidRPr="00417097">
          <w:rPr>
            <w:rFonts w:asciiTheme="minorHAnsi" w:hAnsiTheme="minorHAnsi" w:cstheme="minorHAnsi"/>
            <w:noProof/>
            <w:webHidden/>
          </w:rPr>
          <w:t>5</w:t>
        </w:r>
        <w:r w:rsidR="00055E3A" w:rsidRPr="00417097">
          <w:rPr>
            <w:rFonts w:asciiTheme="minorHAnsi" w:hAnsiTheme="minorHAnsi" w:cstheme="minorHAnsi"/>
            <w:noProof/>
            <w:webHidden/>
          </w:rPr>
          <w:fldChar w:fldCharType="end"/>
        </w:r>
      </w:hyperlink>
    </w:p>
    <w:p w14:paraId="263FEFAF" w14:textId="77777777" w:rsidR="00055E3A" w:rsidRPr="00417097" w:rsidRDefault="00F055A9" w:rsidP="00055E3A">
      <w:pPr>
        <w:pStyle w:val="TOC2"/>
        <w:tabs>
          <w:tab w:val="right" w:leader="dot" w:pos="9962"/>
        </w:tabs>
        <w:rPr>
          <w:rFonts w:asciiTheme="minorHAnsi" w:eastAsiaTheme="minorEastAsia" w:hAnsiTheme="minorHAnsi" w:cstheme="minorHAnsi"/>
          <w:smallCaps w:val="0"/>
          <w:noProof/>
          <w:sz w:val="22"/>
          <w:szCs w:val="22"/>
          <w:lang w:val="en-CA" w:eastAsia="en-CA"/>
        </w:rPr>
      </w:pPr>
      <w:hyperlink w:anchor="_Toc484506917" w:history="1">
        <w:r w:rsidR="00055E3A" w:rsidRPr="00417097">
          <w:rPr>
            <w:rStyle w:val="Hyperlink"/>
            <w:rFonts w:asciiTheme="minorHAnsi" w:hAnsiTheme="minorHAnsi" w:cstheme="minorHAnsi"/>
            <w:noProof/>
          </w:rPr>
          <w:t>Investment Fund Management Fees</w:t>
        </w:r>
        <w:r w:rsidR="00055E3A" w:rsidRPr="00417097">
          <w:rPr>
            <w:rFonts w:asciiTheme="minorHAnsi" w:hAnsiTheme="minorHAnsi" w:cstheme="minorHAnsi"/>
            <w:noProof/>
            <w:webHidden/>
          </w:rPr>
          <w:tab/>
        </w:r>
        <w:r w:rsidR="00055E3A" w:rsidRPr="00417097">
          <w:rPr>
            <w:rFonts w:asciiTheme="minorHAnsi" w:hAnsiTheme="minorHAnsi" w:cstheme="minorHAnsi"/>
            <w:noProof/>
            <w:webHidden/>
          </w:rPr>
          <w:fldChar w:fldCharType="begin"/>
        </w:r>
        <w:r w:rsidR="00055E3A" w:rsidRPr="00417097">
          <w:rPr>
            <w:rFonts w:asciiTheme="minorHAnsi" w:hAnsiTheme="minorHAnsi" w:cstheme="minorHAnsi"/>
            <w:noProof/>
            <w:webHidden/>
          </w:rPr>
          <w:instrText xml:space="preserve"> PAGEREF _Toc484506917 \h </w:instrText>
        </w:r>
        <w:r w:rsidR="00055E3A" w:rsidRPr="00417097">
          <w:rPr>
            <w:rFonts w:asciiTheme="minorHAnsi" w:hAnsiTheme="minorHAnsi" w:cstheme="minorHAnsi"/>
            <w:noProof/>
            <w:webHidden/>
          </w:rPr>
        </w:r>
        <w:r w:rsidR="00055E3A" w:rsidRPr="00417097">
          <w:rPr>
            <w:rFonts w:asciiTheme="minorHAnsi" w:hAnsiTheme="minorHAnsi" w:cstheme="minorHAnsi"/>
            <w:noProof/>
            <w:webHidden/>
          </w:rPr>
          <w:fldChar w:fldCharType="separate"/>
        </w:r>
        <w:r w:rsidR="00055E3A" w:rsidRPr="00417097">
          <w:rPr>
            <w:rFonts w:asciiTheme="minorHAnsi" w:hAnsiTheme="minorHAnsi" w:cstheme="minorHAnsi"/>
            <w:noProof/>
            <w:webHidden/>
          </w:rPr>
          <w:t>5</w:t>
        </w:r>
        <w:r w:rsidR="00055E3A" w:rsidRPr="00417097">
          <w:rPr>
            <w:rFonts w:asciiTheme="minorHAnsi" w:hAnsiTheme="minorHAnsi" w:cstheme="minorHAnsi"/>
            <w:noProof/>
            <w:webHidden/>
          </w:rPr>
          <w:fldChar w:fldCharType="end"/>
        </w:r>
      </w:hyperlink>
    </w:p>
    <w:p w14:paraId="7DDAD686" w14:textId="77777777" w:rsidR="00055E3A" w:rsidRPr="00417097" w:rsidRDefault="00F055A9" w:rsidP="00055E3A">
      <w:pPr>
        <w:pStyle w:val="TOC1"/>
        <w:tabs>
          <w:tab w:val="right" w:leader="dot" w:pos="9962"/>
        </w:tabs>
        <w:rPr>
          <w:rFonts w:asciiTheme="minorHAnsi" w:eastAsiaTheme="minorEastAsia" w:hAnsiTheme="minorHAnsi" w:cstheme="minorHAnsi"/>
          <w:b w:val="0"/>
          <w:caps w:val="0"/>
          <w:noProof/>
          <w:sz w:val="22"/>
          <w:szCs w:val="22"/>
          <w:lang w:val="en-CA" w:eastAsia="en-CA"/>
        </w:rPr>
      </w:pPr>
      <w:hyperlink w:anchor="_Toc484506918" w:history="1">
        <w:r w:rsidR="00055E3A" w:rsidRPr="00417097">
          <w:rPr>
            <w:rStyle w:val="Hyperlink"/>
            <w:rFonts w:asciiTheme="minorHAnsi" w:hAnsiTheme="minorHAnsi" w:cstheme="minorHAnsi"/>
            <w:noProof/>
          </w:rPr>
          <w:t>Performance Objective</w:t>
        </w:r>
        <w:r w:rsidR="00055E3A" w:rsidRPr="00417097">
          <w:rPr>
            <w:rFonts w:asciiTheme="minorHAnsi" w:hAnsiTheme="minorHAnsi" w:cstheme="minorHAnsi"/>
            <w:noProof/>
            <w:webHidden/>
          </w:rPr>
          <w:tab/>
        </w:r>
        <w:r w:rsidR="00055E3A" w:rsidRPr="00417097">
          <w:rPr>
            <w:rFonts w:asciiTheme="minorHAnsi" w:hAnsiTheme="minorHAnsi" w:cstheme="minorHAnsi"/>
            <w:noProof/>
            <w:webHidden/>
          </w:rPr>
          <w:fldChar w:fldCharType="begin"/>
        </w:r>
        <w:r w:rsidR="00055E3A" w:rsidRPr="00417097">
          <w:rPr>
            <w:rFonts w:asciiTheme="minorHAnsi" w:hAnsiTheme="minorHAnsi" w:cstheme="minorHAnsi"/>
            <w:noProof/>
            <w:webHidden/>
          </w:rPr>
          <w:instrText xml:space="preserve"> PAGEREF _Toc484506918 \h </w:instrText>
        </w:r>
        <w:r w:rsidR="00055E3A" w:rsidRPr="00417097">
          <w:rPr>
            <w:rFonts w:asciiTheme="minorHAnsi" w:hAnsiTheme="minorHAnsi" w:cstheme="minorHAnsi"/>
            <w:noProof/>
            <w:webHidden/>
          </w:rPr>
        </w:r>
        <w:r w:rsidR="00055E3A" w:rsidRPr="00417097">
          <w:rPr>
            <w:rFonts w:asciiTheme="minorHAnsi" w:hAnsiTheme="minorHAnsi" w:cstheme="minorHAnsi"/>
            <w:noProof/>
            <w:webHidden/>
          </w:rPr>
          <w:fldChar w:fldCharType="separate"/>
        </w:r>
        <w:r w:rsidR="00055E3A" w:rsidRPr="00417097">
          <w:rPr>
            <w:rFonts w:asciiTheme="minorHAnsi" w:hAnsiTheme="minorHAnsi" w:cstheme="minorHAnsi"/>
            <w:noProof/>
            <w:webHidden/>
          </w:rPr>
          <w:t>6</w:t>
        </w:r>
        <w:r w:rsidR="00055E3A" w:rsidRPr="00417097">
          <w:rPr>
            <w:rFonts w:asciiTheme="minorHAnsi" w:hAnsiTheme="minorHAnsi" w:cstheme="minorHAnsi"/>
            <w:noProof/>
            <w:webHidden/>
          </w:rPr>
          <w:fldChar w:fldCharType="end"/>
        </w:r>
      </w:hyperlink>
    </w:p>
    <w:p w14:paraId="4F64DD99" w14:textId="77777777" w:rsidR="00055E3A" w:rsidRPr="00417097" w:rsidRDefault="00F055A9" w:rsidP="00055E3A">
      <w:pPr>
        <w:pStyle w:val="TOC1"/>
        <w:tabs>
          <w:tab w:val="right" w:leader="dot" w:pos="9962"/>
        </w:tabs>
        <w:rPr>
          <w:rFonts w:asciiTheme="minorHAnsi" w:eastAsiaTheme="minorEastAsia" w:hAnsiTheme="minorHAnsi" w:cstheme="minorHAnsi"/>
          <w:b w:val="0"/>
          <w:caps w:val="0"/>
          <w:noProof/>
          <w:sz w:val="22"/>
          <w:szCs w:val="22"/>
          <w:lang w:val="en-CA" w:eastAsia="en-CA"/>
        </w:rPr>
      </w:pPr>
      <w:hyperlink w:anchor="_Toc484506919" w:history="1">
        <w:r w:rsidR="00055E3A" w:rsidRPr="00417097">
          <w:rPr>
            <w:rStyle w:val="Hyperlink"/>
            <w:rFonts w:asciiTheme="minorHAnsi" w:hAnsiTheme="minorHAnsi" w:cstheme="minorHAnsi"/>
            <w:noProof/>
          </w:rPr>
          <w:t>Monitoring of Plan Investment Options</w:t>
        </w:r>
        <w:r w:rsidR="00055E3A" w:rsidRPr="00417097">
          <w:rPr>
            <w:rFonts w:asciiTheme="minorHAnsi" w:hAnsiTheme="minorHAnsi" w:cstheme="minorHAnsi"/>
            <w:noProof/>
            <w:webHidden/>
          </w:rPr>
          <w:tab/>
        </w:r>
        <w:r w:rsidR="00055E3A" w:rsidRPr="00417097">
          <w:rPr>
            <w:rFonts w:asciiTheme="minorHAnsi" w:hAnsiTheme="minorHAnsi" w:cstheme="minorHAnsi"/>
            <w:noProof/>
            <w:webHidden/>
          </w:rPr>
          <w:fldChar w:fldCharType="begin"/>
        </w:r>
        <w:r w:rsidR="00055E3A" w:rsidRPr="00417097">
          <w:rPr>
            <w:rFonts w:asciiTheme="minorHAnsi" w:hAnsiTheme="minorHAnsi" w:cstheme="minorHAnsi"/>
            <w:noProof/>
            <w:webHidden/>
          </w:rPr>
          <w:instrText xml:space="preserve"> PAGEREF _Toc484506919 \h </w:instrText>
        </w:r>
        <w:r w:rsidR="00055E3A" w:rsidRPr="00417097">
          <w:rPr>
            <w:rFonts w:asciiTheme="minorHAnsi" w:hAnsiTheme="minorHAnsi" w:cstheme="minorHAnsi"/>
            <w:noProof/>
            <w:webHidden/>
          </w:rPr>
        </w:r>
        <w:r w:rsidR="00055E3A" w:rsidRPr="00417097">
          <w:rPr>
            <w:rFonts w:asciiTheme="minorHAnsi" w:hAnsiTheme="minorHAnsi" w:cstheme="minorHAnsi"/>
            <w:noProof/>
            <w:webHidden/>
          </w:rPr>
          <w:fldChar w:fldCharType="separate"/>
        </w:r>
        <w:r w:rsidR="00055E3A" w:rsidRPr="00417097">
          <w:rPr>
            <w:rFonts w:asciiTheme="minorHAnsi" w:hAnsiTheme="minorHAnsi" w:cstheme="minorHAnsi"/>
            <w:noProof/>
            <w:webHidden/>
          </w:rPr>
          <w:t>6</w:t>
        </w:r>
        <w:r w:rsidR="00055E3A" w:rsidRPr="00417097">
          <w:rPr>
            <w:rFonts w:asciiTheme="minorHAnsi" w:hAnsiTheme="minorHAnsi" w:cstheme="minorHAnsi"/>
            <w:noProof/>
            <w:webHidden/>
          </w:rPr>
          <w:fldChar w:fldCharType="end"/>
        </w:r>
      </w:hyperlink>
    </w:p>
    <w:p w14:paraId="6B96076D" w14:textId="77777777" w:rsidR="00055E3A" w:rsidRPr="00417097" w:rsidRDefault="00F055A9" w:rsidP="00055E3A">
      <w:pPr>
        <w:pStyle w:val="TOC1"/>
        <w:tabs>
          <w:tab w:val="right" w:leader="dot" w:pos="9962"/>
        </w:tabs>
        <w:rPr>
          <w:rFonts w:asciiTheme="minorHAnsi" w:eastAsiaTheme="minorEastAsia" w:hAnsiTheme="minorHAnsi" w:cstheme="minorHAnsi"/>
          <w:b w:val="0"/>
          <w:caps w:val="0"/>
          <w:noProof/>
          <w:sz w:val="22"/>
          <w:szCs w:val="22"/>
          <w:lang w:val="en-CA" w:eastAsia="en-CA"/>
        </w:rPr>
      </w:pPr>
      <w:hyperlink w:anchor="_Toc484506920" w:history="1">
        <w:r w:rsidR="00055E3A" w:rsidRPr="00417097">
          <w:rPr>
            <w:rStyle w:val="Hyperlink"/>
            <w:rFonts w:asciiTheme="minorHAnsi" w:hAnsiTheme="minorHAnsi" w:cstheme="minorHAnsi"/>
            <w:noProof/>
          </w:rPr>
          <w:t>Removal of a Plan Investment Option</w:t>
        </w:r>
        <w:r w:rsidR="00055E3A" w:rsidRPr="00417097">
          <w:rPr>
            <w:rFonts w:asciiTheme="minorHAnsi" w:hAnsiTheme="minorHAnsi" w:cstheme="minorHAnsi"/>
            <w:noProof/>
            <w:webHidden/>
          </w:rPr>
          <w:tab/>
        </w:r>
        <w:r w:rsidR="00055E3A" w:rsidRPr="00417097">
          <w:rPr>
            <w:rFonts w:asciiTheme="minorHAnsi" w:hAnsiTheme="minorHAnsi" w:cstheme="minorHAnsi"/>
            <w:noProof/>
            <w:webHidden/>
          </w:rPr>
          <w:fldChar w:fldCharType="begin"/>
        </w:r>
        <w:r w:rsidR="00055E3A" w:rsidRPr="00417097">
          <w:rPr>
            <w:rFonts w:asciiTheme="minorHAnsi" w:hAnsiTheme="minorHAnsi" w:cstheme="minorHAnsi"/>
            <w:noProof/>
            <w:webHidden/>
          </w:rPr>
          <w:instrText xml:space="preserve"> PAGEREF _Toc484506920 \h </w:instrText>
        </w:r>
        <w:r w:rsidR="00055E3A" w:rsidRPr="00417097">
          <w:rPr>
            <w:rFonts w:asciiTheme="minorHAnsi" w:hAnsiTheme="minorHAnsi" w:cstheme="minorHAnsi"/>
            <w:noProof/>
            <w:webHidden/>
          </w:rPr>
        </w:r>
        <w:r w:rsidR="00055E3A" w:rsidRPr="00417097">
          <w:rPr>
            <w:rFonts w:asciiTheme="minorHAnsi" w:hAnsiTheme="minorHAnsi" w:cstheme="minorHAnsi"/>
            <w:noProof/>
            <w:webHidden/>
          </w:rPr>
          <w:fldChar w:fldCharType="separate"/>
        </w:r>
        <w:r w:rsidR="00055E3A" w:rsidRPr="00417097">
          <w:rPr>
            <w:rFonts w:asciiTheme="minorHAnsi" w:hAnsiTheme="minorHAnsi" w:cstheme="minorHAnsi"/>
            <w:noProof/>
            <w:webHidden/>
          </w:rPr>
          <w:t>7</w:t>
        </w:r>
        <w:r w:rsidR="00055E3A" w:rsidRPr="00417097">
          <w:rPr>
            <w:rFonts w:asciiTheme="minorHAnsi" w:hAnsiTheme="minorHAnsi" w:cstheme="minorHAnsi"/>
            <w:noProof/>
            <w:webHidden/>
          </w:rPr>
          <w:fldChar w:fldCharType="end"/>
        </w:r>
      </w:hyperlink>
    </w:p>
    <w:p w14:paraId="75A7E06C" w14:textId="77777777" w:rsidR="00055E3A" w:rsidRPr="00417097" w:rsidRDefault="00F055A9" w:rsidP="00055E3A">
      <w:pPr>
        <w:pStyle w:val="TOC1"/>
        <w:tabs>
          <w:tab w:val="right" w:leader="dot" w:pos="9962"/>
        </w:tabs>
        <w:rPr>
          <w:rFonts w:asciiTheme="minorHAnsi" w:eastAsiaTheme="minorEastAsia" w:hAnsiTheme="minorHAnsi" w:cstheme="minorHAnsi"/>
          <w:b w:val="0"/>
          <w:caps w:val="0"/>
          <w:noProof/>
          <w:sz w:val="22"/>
          <w:szCs w:val="22"/>
          <w:lang w:val="en-CA" w:eastAsia="en-CA"/>
        </w:rPr>
      </w:pPr>
      <w:hyperlink w:anchor="_Toc484506921" w:history="1">
        <w:r w:rsidR="00055E3A" w:rsidRPr="00417097">
          <w:rPr>
            <w:rStyle w:val="Hyperlink"/>
            <w:rFonts w:asciiTheme="minorHAnsi" w:hAnsiTheme="minorHAnsi" w:cstheme="minorHAnsi"/>
            <w:noProof/>
          </w:rPr>
          <w:t>Appendix A</w:t>
        </w:r>
        <w:r w:rsidR="00055E3A" w:rsidRPr="00417097">
          <w:rPr>
            <w:rFonts w:asciiTheme="minorHAnsi" w:hAnsiTheme="minorHAnsi" w:cstheme="minorHAnsi"/>
            <w:noProof/>
            <w:webHidden/>
          </w:rPr>
          <w:tab/>
        </w:r>
        <w:r w:rsidR="00055E3A" w:rsidRPr="00417097">
          <w:rPr>
            <w:rFonts w:asciiTheme="minorHAnsi" w:hAnsiTheme="minorHAnsi" w:cstheme="minorHAnsi"/>
            <w:noProof/>
            <w:webHidden/>
          </w:rPr>
          <w:fldChar w:fldCharType="begin"/>
        </w:r>
        <w:r w:rsidR="00055E3A" w:rsidRPr="00417097">
          <w:rPr>
            <w:rFonts w:asciiTheme="minorHAnsi" w:hAnsiTheme="minorHAnsi" w:cstheme="minorHAnsi"/>
            <w:noProof/>
            <w:webHidden/>
          </w:rPr>
          <w:instrText xml:space="preserve"> PAGEREF _Toc484506921 \h </w:instrText>
        </w:r>
        <w:r w:rsidR="00055E3A" w:rsidRPr="00417097">
          <w:rPr>
            <w:rFonts w:asciiTheme="minorHAnsi" w:hAnsiTheme="minorHAnsi" w:cstheme="minorHAnsi"/>
            <w:noProof/>
            <w:webHidden/>
          </w:rPr>
        </w:r>
        <w:r w:rsidR="00055E3A" w:rsidRPr="00417097">
          <w:rPr>
            <w:rFonts w:asciiTheme="minorHAnsi" w:hAnsiTheme="minorHAnsi" w:cstheme="minorHAnsi"/>
            <w:noProof/>
            <w:webHidden/>
          </w:rPr>
          <w:fldChar w:fldCharType="separate"/>
        </w:r>
        <w:r w:rsidR="00055E3A" w:rsidRPr="00417097">
          <w:rPr>
            <w:rFonts w:asciiTheme="minorHAnsi" w:hAnsiTheme="minorHAnsi" w:cstheme="minorHAnsi"/>
            <w:noProof/>
            <w:webHidden/>
          </w:rPr>
          <w:t>8</w:t>
        </w:r>
        <w:r w:rsidR="00055E3A" w:rsidRPr="00417097">
          <w:rPr>
            <w:rFonts w:asciiTheme="minorHAnsi" w:hAnsiTheme="minorHAnsi" w:cstheme="minorHAnsi"/>
            <w:noProof/>
            <w:webHidden/>
          </w:rPr>
          <w:fldChar w:fldCharType="end"/>
        </w:r>
      </w:hyperlink>
    </w:p>
    <w:p w14:paraId="44598AF1" w14:textId="77777777" w:rsidR="00055E3A" w:rsidRPr="00417097" w:rsidRDefault="00F055A9" w:rsidP="00055E3A">
      <w:pPr>
        <w:pStyle w:val="TOC1"/>
        <w:tabs>
          <w:tab w:val="right" w:leader="dot" w:pos="9962"/>
        </w:tabs>
        <w:rPr>
          <w:rFonts w:asciiTheme="minorHAnsi" w:eastAsiaTheme="minorEastAsia" w:hAnsiTheme="minorHAnsi" w:cstheme="minorHAnsi"/>
          <w:b w:val="0"/>
          <w:caps w:val="0"/>
          <w:noProof/>
          <w:sz w:val="22"/>
          <w:szCs w:val="22"/>
          <w:lang w:val="en-CA" w:eastAsia="en-CA"/>
        </w:rPr>
      </w:pPr>
      <w:hyperlink w:anchor="_Toc484506922" w:history="1">
        <w:r w:rsidR="00055E3A" w:rsidRPr="00417097">
          <w:rPr>
            <w:rStyle w:val="Hyperlink"/>
            <w:rFonts w:asciiTheme="minorHAnsi" w:hAnsiTheme="minorHAnsi" w:cstheme="minorHAnsi"/>
            <w:noProof/>
          </w:rPr>
          <w:t>The Benefits Alliance Group</w:t>
        </w:r>
        <w:r w:rsidR="00055E3A" w:rsidRPr="00417097">
          <w:rPr>
            <w:rFonts w:asciiTheme="minorHAnsi" w:hAnsiTheme="minorHAnsi" w:cstheme="minorHAnsi"/>
            <w:noProof/>
            <w:webHidden/>
          </w:rPr>
          <w:tab/>
        </w:r>
        <w:r w:rsidR="00055E3A" w:rsidRPr="00417097">
          <w:rPr>
            <w:rFonts w:asciiTheme="minorHAnsi" w:hAnsiTheme="minorHAnsi" w:cstheme="minorHAnsi"/>
            <w:noProof/>
            <w:webHidden/>
          </w:rPr>
          <w:fldChar w:fldCharType="begin"/>
        </w:r>
        <w:r w:rsidR="00055E3A" w:rsidRPr="00417097">
          <w:rPr>
            <w:rFonts w:asciiTheme="minorHAnsi" w:hAnsiTheme="minorHAnsi" w:cstheme="minorHAnsi"/>
            <w:noProof/>
            <w:webHidden/>
          </w:rPr>
          <w:instrText xml:space="preserve"> PAGEREF _Toc484506922 \h </w:instrText>
        </w:r>
        <w:r w:rsidR="00055E3A" w:rsidRPr="00417097">
          <w:rPr>
            <w:rFonts w:asciiTheme="minorHAnsi" w:hAnsiTheme="minorHAnsi" w:cstheme="minorHAnsi"/>
            <w:noProof/>
            <w:webHidden/>
          </w:rPr>
        </w:r>
        <w:r w:rsidR="00055E3A" w:rsidRPr="00417097">
          <w:rPr>
            <w:rFonts w:asciiTheme="minorHAnsi" w:hAnsiTheme="minorHAnsi" w:cstheme="minorHAnsi"/>
            <w:noProof/>
            <w:webHidden/>
          </w:rPr>
          <w:fldChar w:fldCharType="separate"/>
        </w:r>
        <w:r w:rsidR="00055E3A" w:rsidRPr="00417097">
          <w:rPr>
            <w:rFonts w:asciiTheme="minorHAnsi" w:hAnsiTheme="minorHAnsi" w:cstheme="minorHAnsi"/>
            <w:noProof/>
            <w:webHidden/>
          </w:rPr>
          <w:t>9</w:t>
        </w:r>
        <w:r w:rsidR="00055E3A" w:rsidRPr="00417097">
          <w:rPr>
            <w:rFonts w:asciiTheme="minorHAnsi" w:hAnsiTheme="minorHAnsi" w:cstheme="minorHAnsi"/>
            <w:noProof/>
            <w:webHidden/>
          </w:rPr>
          <w:fldChar w:fldCharType="end"/>
        </w:r>
      </w:hyperlink>
    </w:p>
    <w:p w14:paraId="3A341532" w14:textId="77777777" w:rsidR="00055E3A" w:rsidRPr="00417097" w:rsidRDefault="00055E3A" w:rsidP="00055E3A">
      <w:pPr>
        <w:spacing w:line="276" w:lineRule="auto"/>
        <w:rPr>
          <w:rFonts w:asciiTheme="minorHAnsi" w:hAnsiTheme="minorHAnsi" w:cstheme="minorHAnsi"/>
          <w:caps/>
        </w:rPr>
      </w:pPr>
      <w:r w:rsidRPr="00417097">
        <w:rPr>
          <w:rFonts w:asciiTheme="minorHAnsi" w:hAnsiTheme="minorHAnsi" w:cstheme="minorHAnsi"/>
          <w:szCs w:val="22"/>
        </w:rPr>
        <w:fldChar w:fldCharType="end"/>
      </w:r>
    </w:p>
    <w:p w14:paraId="7B1DEA3D" w14:textId="77777777" w:rsidR="00055E3A" w:rsidRPr="00417097" w:rsidRDefault="00055E3A" w:rsidP="00055E3A">
      <w:pPr>
        <w:rPr>
          <w:rFonts w:asciiTheme="minorHAnsi" w:hAnsiTheme="minorHAnsi" w:cstheme="minorHAnsi"/>
          <w:b/>
          <w:i/>
          <w:caps/>
          <w:sz w:val="28"/>
        </w:rPr>
      </w:pPr>
    </w:p>
    <w:p w14:paraId="45B02683" w14:textId="77777777" w:rsidR="00055E3A" w:rsidRPr="00417097" w:rsidRDefault="00055E3A" w:rsidP="00055E3A">
      <w:pPr>
        <w:pStyle w:val="Heading1"/>
        <w:rPr>
          <w:rFonts w:asciiTheme="minorHAnsi" w:hAnsiTheme="minorHAnsi" w:cstheme="minorHAnsi"/>
          <w:b w:val="0"/>
          <w:caps/>
        </w:rPr>
      </w:pPr>
      <w:bookmarkStart w:id="4" w:name="_Toc251331071"/>
      <w:bookmarkStart w:id="5" w:name="_Toc251331349"/>
      <w:r w:rsidRPr="00417097">
        <w:rPr>
          <w:rFonts w:asciiTheme="minorHAnsi" w:hAnsiTheme="minorHAnsi" w:cstheme="minorHAnsi"/>
        </w:rPr>
        <w:br w:type="page"/>
      </w:r>
      <w:bookmarkStart w:id="6" w:name="_Toc395353716"/>
      <w:bookmarkStart w:id="7" w:name="_Toc52334362"/>
      <w:bookmarkStart w:id="8" w:name="_Toc121639623"/>
      <w:bookmarkStart w:id="9" w:name="_Toc248221036"/>
      <w:bookmarkStart w:id="10" w:name="_Toc248224084"/>
      <w:bookmarkStart w:id="11" w:name="_Toc251331072"/>
      <w:bookmarkStart w:id="12" w:name="_Toc251331350"/>
      <w:bookmarkStart w:id="13" w:name="_Toc251331642"/>
      <w:bookmarkStart w:id="14" w:name="_Toc251407989"/>
      <w:bookmarkStart w:id="15" w:name="_Toc255461195"/>
      <w:bookmarkStart w:id="16" w:name="_Toc278185921"/>
      <w:bookmarkStart w:id="17" w:name="_Toc248221034"/>
      <w:bookmarkStart w:id="18" w:name="_Toc248224082"/>
      <w:bookmarkEnd w:id="0"/>
      <w:bookmarkEnd w:id="1"/>
      <w:bookmarkEnd w:id="2"/>
      <w:bookmarkEnd w:id="3"/>
      <w:bookmarkEnd w:id="4"/>
      <w:bookmarkEnd w:id="5"/>
    </w:p>
    <w:p w14:paraId="11C24F47" w14:textId="77777777" w:rsidR="00055E3A" w:rsidRPr="00417097" w:rsidRDefault="00055E3A" w:rsidP="00055E3A">
      <w:pPr>
        <w:pStyle w:val="Heading1"/>
        <w:rPr>
          <w:rFonts w:asciiTheme="minorHAnsi" w:hAnsiTheme="minorHAnsi" w:cstheme="minorHAnsi"/>
        </w:rPr>
        <w:sectPr w:rsidR="00055E3A" w:rsidRPr="00417097" w:rsidSect="00055E3A">
          <w:headerReference w:type="default" r:id="rId9"/>
          <w:footerReference w:type="even" r:id="rId10"/>
          <w:footerReference w:type="default" r:id="rId11"/>
          <w:headerReference w:type="first" r:id="rId12"/>
          <w:footerReference w:type="first" r:id="rId13"/>
          <w:pgSz w:w="12240" w:h="15840" w:code="1"/>
          <w:pgMar w:top="1298" w:right="1134" w:bottom="425" w:left="1134" w:header="432" w:footer="144" w:gutter="0"/>
          <w:pgNumType w:start="0"/>
          <w:cols w:space="720"/>
          <w:titlePg/>
          <w:docGrid w:linePitch="299"/>
        </w:sectPr>
      </w:pPr>
      <w:bookmarkStart w:id="19" w:name="_Toc54516434"/>
      <w:bookmarkStart w:id="20" w:name="_Toc54516717"/>
      <w:bookmarkStart w:id="21" w:name="_Toc58725028"/>
      <w:bookmarkStart w:id="22" w:name="_Toc157322108"/>
      <w:bookmarkStart w:id="23" w:name="_Toc236799148"/>
      <w:bookmarkStart w:id="24" w:name="_Toc237706894"/>
      <w:bookmarkStart w:id="25" w:name="_Toc237707036"/>
      <w:bookmarkStart w:id="26" w:name="_Toc237707425"/>
      <w:bookmarkStart w:id="27" w:name="_Toc243278717"/>
      <w:bookmarkStart w:id="28" w:name="_Toc243278861"/>
      <w:bookmarkStart w:id="29" w:name="_Toc243279296"/>
      <w:bookmarkStart w:id="30" w:name="_Toc243279359"/>
      <w:bookmarkStart w:id="31" w:name="_Toc243279966"/>
      <w:bookmarkStart w:id="32" w:name="_Toc243797674"/>
      <w:bookmarkStart w:id="33" w:name="_Toc248221035"/>
      <w:bookmarkStart w:id="34" w:name="_Toc248224083"/>
      <w:bookmarkStart w:id="35" w:name="_Toc251331076"/>
      <w:bookmarkStart w:id="36" w:name="_Toc251331354"/>
      <w:bookmarkStart w:id="37" w:name="_Toc251331646"/>
      <w:bookmarkStart w:id="38" w:name="_Toc251407993"/>
      <w:bookmarkStart w:id="39" w:name="_Toc255461199"/>
      <w:bookmarkStart w:id="40" w:name="_Toc278185925"/>
      <w:bookmarkEnd w:id="6"/>
      <w:bookmarkEnd w:id="7"/>
      <w:bookmarkEnd w:id="8"/>
      <w:bookmarkEnd w:id="9"/>
      <w:bookmarkEnd w:id="10"/>
      <w:bookmarkEnd w:id="11"/>
      <w:bookmarkEnd w:id="12"/>
      <w:bookmarkEnd w:id="13"/>
      <w:bookmarkEnd w:id="14"/>
      <w:bookmarkEnd w:id="15"/>
      <w:bookmarkEnd w:id="16"/>
      <w:bookmarkEnd w:id="17"/>
      <w:bookmarkEnd w:id="18"/>
    </w:p>
    <w:p w14:paraId="6668088B" w14:textId="77777777" w:rsidR="00055E3A" w:rsidRPr="00417097" w:rsidRDefault="00055E3A" w:rsidP="00055E3A">
      <w:pPr>
        <w:pStyle w:val="Heading1"/>
        <w:rPr>
          <w:rFonts w:asciiTheme="minorHAnsi" w:hAnsiTheme="minorHAnsi" w:cstheme="minorHAnsi"/>
          <w:i w:val="0"/>
          <w:caps/>
        </w:rPr>
      </w:pPr>
      <w:bookmarkStart w:id="41" w:name="_Toc454459645"/>
      <w:bookmarkStart w:id="42" w:name="_Toc48450690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417097">
        <w:rPr>
          <w:rFonts w:asciiTheme="minorHAnsi" w:hAnsiTheme="minorHAnsi" w:cstheme="minorHAnsi"/>
          <w:i w:val="0"/>
          <w:caps/>
        </w:rPr>
        <w:lastRenderedPageBreak/>
        <w:t>background and purpose</w:t>
      </w:r>
      <w:bookmarkEnd w:id="41"/>
      <w:bookmarkEnd w:id="42"/>
    </w:p>
    <w:p w14:paraId="401CADB7" w14:textId="310C938C" w:rsidR="00055E3A" w:rsidRPr="00417097" w:rsidRDefault="00055E3A" w:rsidP="00055E3A">
      <w:pPr>
        <w:spacing w:line="276" w:lineRule="auto"/>
        <w:rPr>
          <w:rFonts w:asciiTheme="minorHAnsi" w:hAnsiTheme="minorHAnsi" w:cstheme="minorHAnsi"/>
          <w:sz w:val="20"/>
          <w:szCs w:val="20"/>
        </w:rPr>
      </w:pPr>
      <w:r w:rsidRPr="00417097">
        <w:rPr>
          <w:rFonts w:asciiTheme="minorHAnsi" w:hAnsiTheme="minorHAnsi" w:cstheme="minorHAnsi"/>
          <w:sz w:val="20"/>
          <w:szCs w:val="20"/>
        </w:rPr>
        <w:t xml:space="preserve">The purpose of the </w:t>
      </w:r>
      <w:r w:rsidR="00B24184">
        <w:rPr>
          <w:rFonts w:asciiTheme="minorHAnsi" w:hAnsiTheme="minorHAnsi" w:cstheme="minorHAnsi"/>
          <w:sz w:val="20"/>
          <w:szCs w:val="20"/>
        </w:rPr>
        <w:t>Statement of Investment Policies and Procedures (</w:t>
      </w:r>
      <w:r w:rsidRPr="00417097">
        <w:rPr>
          <w:rStyle w:val="headline"/>
          <w:rFonts w:asciiTheme="minorHAnsi" w:hAnsiTheme="minorHAnsi" w:cstheme="minorHAnsi"/>
          <w:sz w:val="20"/>
          <w:szCs w:val="20"/>
        </w:rPr>
        <w:t>SIPP</w:t>
      </w:r>
      <w:r w:rsidR="00B24184">
        <w:rPr>
          <w:rStyle w:val="headline"/>
          <w:rFonts w:asciiTheme="minorHAnsi" w:hAnsiTheme="minorHAnsi" w:cstheme="minorHAnsi"/>
          <w:sz w:val="20"/>
          <w:szCs w:val="20"/>
        </w:rPr>
        <w:t>)</w:t>
      </w:r>
      <w:r w:rsidRPr="00417097">
        <w:rPr>
          <w:rStyle w:val="headline"/>
          <w:rFonts w:asciiTheme="minorHAnsi" w:hAnsiTheme="minorHAnsi" w:cstheme="minorHAnsi"/>
          <w:sz w:val="20"/>
          <w:szCs w:val="20"/>
        </w:rPr>
        <w:t xml:space="preserve"> is to </w:t>
      </w:r>
      <w:r w:rsidRPr="00417097">
        <w:rPr>
          <w:rFonts w:asciiTheme="minorHAnsi" w:hAnsiTheme="minorHAnsi" w:cstheme="minorHAnsi"/>
          <w:sz w:val="20"/>
          <w:szCs w:val="20"/>
        </w:rPr>
        <w:t xml:space="preserve">formally document the investment policies and procedures for the </w:t>
      </w:r>
      <w:r w:rsidRPr="004D3063">
        <w:rPr>
          <w:rFonts w:asciiTheme="minorHAnsi" w:hAnsiTheme="minorHAnsi" w:cstheme="minorHAnsi"/>
          <w:sz w:val="20"/>
          <w:szCs w:val="20"/>
          <w:highlight w:val="yellow"/>
        </w:rPr>
        <w:t>Company Name</w:t>
      </w:r>
      <w:r w:rsidRPr="004D3063">
        <w:rPr>
          <w:rFonts w:asciiTheme="minorHAnsi" w:hAnsiTheme="minorHAnsi" w:cstheme="minorHAnsi"/>
          <w:sz w:val="20"/>
          <w:szCs w:val="20"/>
        </w:rPr>
        <w:t xml:space="preserve"> </w:t>
      </w:r>
      <w:r w:rsidRPr="00417097">
        <w:rPr>
          <w:rFonts w:asciiTheme="minorHAnsi" w:hAnsiTheme="minorHAnsi" w:cstheme="minorHAnsi"/>
          <w:sz w:val="20"/>
          <w:szCs w:val="20"/>
        </w:rPr>
        <w:t xml:space="preserve">Group Retirement Plan (the “Plan). </w:t>
      </w:r>
      <w:r w:rsidRPr="00417097">
        <w:rPr>
          <w:rFonts w:asciiTheme="minorHAnsi" w:hAnsiTheme="minorHAnsi" w:cstheme="minorHAnsi"/>
          <w:sz w:val="20"/>
          <w:szCs w:val="20"/>
          <w:lang w:val="en-CA"/>
        </w:rPr>
        <w:t xml:space="preserve">The Plan is a Defined Contribution Plan and was established on </w:t>
      </w:r>
      <w:r w:rsidRPr="004D3063">
        <w:rPr>
          <w:rFonts w:asciiTheme="minorHAnsi" w:hAnsiTheme="minorHAnsi" w:cstheme="minorHAnsi"/>
          <w:sz w:val="20"/>
          <w:szCs w:val="20"/>
          <w:highlight w:val="yellow"/>
          <w:lang w:val="en-CA"/>
        </w:rPr>
        <w:t>January 1, 20</w:t>
      </w:r>
      <w:r w:rsidR="00417097" w:rsidRPr="004D3063">
        <w:rPr>
          <w:rFonts w:asciiTheme="minorHAnsi" w:hAnsiTheme="minorHAnsi" w:cstheme="minorHAnsi"/>
          <w:sz w:val="20"/>
          <w:szCs w:val="20"/>
          <w:highlight w:val="yellow"/>
          <w:lang w:val="en-CA"/>
        </w:rPr>
        <w:t>20</w:t>
      </w:r>
      <w:r w:rsidRPr="004D3063">
        <w:rPr>
          <w:rFonts w:asciiTheme="minorHAnsi" w:hAnsiTheme="minorHAnsi" w:cstheme="minorHAnsi"/>
          <w:sz w:val="20"/>
          <w:szCs w:val="20"/>
          <w:highlight w:val="yellow"/>
          <w:lang w:val="en-CA"/>
        </w:rPr>
        <w:t xml:space="preserve">.  </w:t>
      </w:r>
      <w:r w:rsidRPr="004D3063">
        <w:rPr>
          <w:rFonts w:asciiTheme="minorHAnsi" w:hAnsiTheme="minorHAnsi" w:cstheme="minorHAnsi"/>
          <w:sz w:val="20"/>
          <w:szCs w:val="20"/>
          <w:highlight w:val="yellow"/>
        </w:rPr>
        <w:t>The Plan is registered with Alberta Finance under the registration number 1234567 and is subject to the provisions of the Pension Benefits Act (Alberta) and the Income Tax Act (Canada).</w:t>
      </w:r>
      <w:r w:rsidRPr="004D3063">
        <w:rPr>
          <w:rFonts w:asciiTheme="minorHAnsi" w:hAnsiTheme="minorHAnsi" w:cstheme="minorHAnsi"/>
          <w:sz w:val="20"/>
          <w:szCs w:val="20"/>
        </w:rPr>
        <w:t xml:space="preserve"> </w:t>
      </w:r>
      <w:r w:rsidRPr="00417097">
        <w:rPr>
          <w:rFonts w:asciiTheme="minorHAnsi" w:hAnsiTheme="minorHAnsi" w:cstheme="minorHAnsi"/>
          <w:sz w:val="20"/>
          <w:szCs w:val="20"/>
        </w:rPr>
        <w:t>The Plan Sponsor will use this SIPP as a long-term planning and evaluation tool. Given that the investment marketplace, legislation and the Plan’s environment are dynamic, this SIPP may be revised or amended at any time.</w:t>
      </w:r>
    </w:p>
    <w:p w14:paraId="27410A91" w14:textId="77777777" w:rsidR="00055E3A" w:rsidRPr="00417097" w:rsidRDefault="00055E3A" w:rsidP="00055E3A">
      <w:pPr>
        <w:spacing w:line="276" w:lineRule="auto"/>
        <w:rPr>
          <w:rFonts w:asciiTheme="minorHAnsi" w:hAnsiTheme="minorHAnsi" w:cstheme="minorHAnsi"/>
          <w:color w:val="FF0000"/>
          <w:sz w:val="20"/>
          <w:szCs w:val="20"/>
          <w:lang w:val="en-CA"/>
        </w:rPr>
      </w:pPr>
    </w:p>
    <w:p w14:paraId="053F224A" w14:textId="77777777" w:rsidR="00055E3A" w:rsidRPr="00417097" w:rsidRDefault="00055E3A" w:rsidP="00055E3A">
      <w:pPr>
        <w:pStyle w:val="Heading1"/>
        <w:rPr>
          <w:rFonts w:asciiTheme="minorHAnsi" w:hAnsiTheme="minorHAnsi" w:cstheme="minorHAnsi"/>
          <w:i w:val="0"/>
          <w:caps/>
        </w:rPr>
      </w:pPr>
      <w:bookmarkStart w:id="43" w:name="_Toc172012282"/>
      <w:bookmarkStart w:id="44" w:name="_Toc172012313"/>
      <w:bookmarkStart w:id="45" w:name="_Toc436057460"/>
      <w:bookmarkStart w:id="46" w:name="_Toc454459646"/>
      <w:bookmarkStart w:id="47" w:name="_Toc484506908"/>
      <w:r w:rsidRPr="00417097">
        <w:rPr>
          <w:rFonts w:asciiTheme="minorHAnsi" w:hAnsiTheme="minorHAnsi" w:cstheme="minorHAnsi"/>
          <w:i w:val="0"/>
          <w:caps/>
        </w:rPr>
        <w:t>Objective of the Plan</w:t>
      </w:r>
      <w:bookmarkEnd w:id="43"/>
      <w:bookmarkEnd w:id="44"/>
      <w:bookmarkEnd w:id="45"/>
      <w:bookmarkEnd w:id="46"/>
      <w:bookmarkEnd w:id="47"/>
    </w:p>
    <w:p w14:paraId="62131A8B" w14:textId="77777777" w:rsidR="00055E3A" w:rsidRPr="00417097" w:rsidRDefault="00055E3A" w:rsidP="00055E3A">
      <w:pPr>
        <w:spacing w:line="276" w:lineRule="auto"/>
        <w:rPr>
          <w:rFonts w:asciiTheme="minorHAnsi" w:hAnsiTheme="minorHAnsi" w:cstheme="minorHAnsi"/>
          <w:sz w:val="20"/>
          <w:szCs w:val="20"/>
        </w:rPr>
      </w:pPr>
      <w:r w:rsidRPr="00417097">
        <w:rPr>
          <w:rFonts w:asciiTheme="minorHAnsi" w:hAnsiTheme="minorHAnsi" w:cstheme="minorHAnsi"/>
          <w:sz w:val="20"/>
          <w:szCs w:val="20"/>
        </w:rPr>
        <w:t>The objective of the Plan is to assist members in building a retirement income through a tax effective savings vehicle. The accumulating of assets is dependent on the contributions made to the Plan and the rate of return achieved.</w:t>
      </w:r>
    </w:p>
    <w:p w14:paraId="11EE200A" w14:textId="77777777" w:rsidR="00055E3A" w:rsidRPr="00417097" w:rsidRDefault="00055E3A" w:rsidP="00055E3A">
      <w:pPr>
        <w:spacing w:line="276" w:lineRule="auto"/>
        <w:rPr>
          <w:rFonts w:asciiTheme="minorHAnsi" w:hAnsiTheme="minorHAnsi" w:cstheme="minorHAnsi"/>
          <w:sz w:val="20"/>
          <w:szCs w:val="20"/>
        </w:rPr>
      </w:pPr>
    </w:p>
    <w:p w14:paraId="774FD56E" w14:textId="77777777" w:rsidR="00055E3A" w:rsidRPr="00417097" w:rsidRDefault="00055E3A" w:rsidP="00055E3A">
      <w:pPr>
        <w:pStyle w:val="Heading1"/>
        <w:rPr>
          <w:rFonts w:asciiTheme="minorHAnsi" w:hAnsiTheme="minorHAnsi" w:cstheme="minorHAnsi"/>
          <w:i w:val="0"/>
          <w:caps/>
        </w:rPr>
      </w:pPr>
      <w:bookmarkStart w:id="48" w:name="_Toc2576586"/>
      <w:bookmarkStart w:id="49" w:name="_Toc172010544"/>
      <w:bookmarkStart w:id="50" w:name="_Toc172012297"/>
      <w:bookmarkStart w:id="51" w:name="_Toc172012328"/>
      <w:bookmarkStart w:id="52" w:name="_Toc436057467"/>
      <w:bookmarkStart w:id="53" w:name="_Toc454459647"/>
      <w:bookmarkStart w:id="54" w:name="_Toc484506909"/>
      <w:r w:rsidRPr="00417097">
        <w:rPr>
          <w:rFonts w:asciiTheme="minorHAnsi" w:hAnsiTheme="minorHAnsi" w:cstheme="minorHAnsi"/>
          <w:i w:val="0"/>
          <w:caps/>
        </w:rPr>
        <w:t>Plan Sponsor Responsibilities</w:t>
      </w:r>
      <w:bookmarkEnd w:id="48"/>
      <w:bookmarkEnd w:id="49"/>
      <w:bookmarkEnd w:id="50"/>
      <w:bookmarkEnd w:id="51"/>
      <w:bookmarkEnd w:id="52"/>
      <w:bookmarkEnd w:id="53"/>
      <w:bookmarkEnd w:id="54"/>
    </w:p>
    <w:p w14:paraId="4892B827" w14:textId="359268B8" w:rsidR="00B24184" w:rsidRPr="00417097" w:rsidRDefault="00055E3A" w:rsidP="00B24184">
      <w:pPr>
        <w:tabs>
          <w:tab w:val="left" w:pos="0"/>
        </w:tabs>
        <w:spacing w:line="276" w:lineRule="auto"/>
        <w:rPr>
          <w:rFonts w:asciiTheme="minorHAnsi" w:hAnsiTheme="minorHAnsi" w:cstheme="minorHAnsi"/>
          <w:sz w:val="20"/>
          <w:szCs w:val="20"/>
          <w:lang w:val="en-CA"/>
        </w:rPr>
      </w:pPr>
      <w:r w:rsidRPr="00417097">
        <w:rPr>
          <w:rFonts w:asciiTheme="minorHAnsi" w:hAnsiTheme="minorHAnsi" w:cstheme="minorHAnsi"/>
          <w:sz w:val="20"/>
        </w:rPr>
        <w:t>The Plan Sponsor has overall responsibility for the Plan and its overall management.  They may, subject to the provisions of the Plan, engage the services of third parties such as the Service Provider or the Investment Managers.</w:t>
      </w:r>
      <w:bookmarkStart w:id="55" w:name="_Toc172010545"/>
      <w:bookmarkStart w:id="56" w:name="_Toc172012298"/>
      <w:bookmarkStart w:id="57" w:name="_Toc172012329"/>
      <w:bookmarkStart w:id="58" w:name="_Toc436057468"/>
      <w:r w:rsidR="00B24184">
        <w:rPr>
          <w:rFonts w:asciiTheme="minorHAnsi" w:hAnsiTheme="minorHAnsi" w:cstheme="minorHAnsi"/>
          <w:sz w:val="20"/>
        </w:rPr>
        <w:t xml:space="preserve"> </w:t>
      </w:r>
      <w:r w:rsidR="00146250" w:rsidRPr="00541C09">
        <w:rPr>
          <w:rFonts w:asciiTheme="minorHAnsi" w:hAnsiTheme="minorHAnsi" w:cstheme="minorHAnsi"/>
          <w:sz w:val="20"/>
          <w:szCs w:val="20"/>
        </w:rPr>
        <w:t>The objective of the Plan is to assist members in building a retirement income through a tax effective savings vehicle</w:t>
      </w:r>
      <w:r w:rsidR="00146250">
        <w:rPr>
          <w:rFonts w:asciiTheme="minorHAnsi" w:hAnsiTheme="minorHAnsi" w:cstheme="minorHAnsi"/>
          <w:sz w:val="20"/>
          <w:szCs w:val="20"/>
        </w:rPr>
        <w:t xml:space="preserve"> and thus requires the engagement of initiating third parties on a needs basis to assist the Plan Sponsor in operating the plan in the most optimal manner.</w:t>
      </w:r>
      <w:r w:rsidR="002617B4" w:rsidRPr="002617B4">
        <w:rPr>
          <w:rFonts w:asciiTheme="minorHAnsi" w:hAnsiTheme="minorHAnsi" w:cstheme="minorHAnsi"/>
          <w:sz w:val="20"/>
          <w:szCs w:val="20"/>
          <w:lang w:val="en-CA"/>
        </w:rPr>
        <w:t xml:space="preserve"> </w:t>
      </w:r>
      <w:r w:rsidR="002617B4" w:rsidRPr="00417097">
        <w:rPr>
          <w:rFonts w:asciiTheme="minorHAnsi" w:hAnsiTheme="minorHAnsi" w:cstheme="minorHAnsi"/>
          <w:sz w:val="20"/>
          <w:szCs w:val="20"/>
          <w:lang w:val="en-CA"/>
        </w:rPr>
        <w:t>The Plan Sponsor will review the Plan investment options at least annually.</w:t>
      </w:r>
    </w:p>
    <w:p w14:paraId="3FAF7A6C" w14:textId="77777777" w:rsidR="00B24184" w:rsidRPr="00417097" w:rsidRDefault="00B24184" w:rsidP="00B24184">
      <w:pPr>
        <w:tabs>
          <w:tab w:val="left" w:pos="0"/>
        </w:tabs>
        <w:spacing w:line="276" w:lineRule="auto"/>
        <w:rPr>
          <w:rFonts w:asciiTheme="minorHAnsi" w:hAnsiTheme="minorHAnsi" w:cstheme="minorHAnsi"/>
          <w:sz w:val="20"/>
          <w:szCs w:val="20"/>
          <w:lang w:val="en-CA"/>
        </w:rPr>
      </w:pPr>
    </w:p>
    <w:p w14:paraId="3DFED14E" w14:textId="77777777" w:rsidR="00055E3A" w:rsidRPr="00417097" w:rsidRDefault="00055E3A" w:rsidP="00055E3A">
      <w:pPr>
        <w:pStyle w:val="Heading1"/>
        <w:rPr>
          <w:rFonts w:asciiTheme="minorHAnsi" w:hAnsiTheme="minorHAnsi" w:cstheme="minorHAnsi"/>
          <w:i w:val="0"/>
          <w:caps/>
        </w:rPr>
      </w:pPr>
      <w:bookmarkStart w:id="59" w:name="_Toc454459648"/>
      <w:bookmarkStart w:id="60" w:name="_Toc484506910"/>
      <w:r w:rsidRPr="00417097">
        <w:rPr>
          <w:rFonts w:asciiTheme="minorHAnsi" w:hAnsiTheme="minorHAnsi" w:cstheme="minorHAnsi"/>
          <w:i w:val="0"/>
          <w:caps/>
        </w:rPr>
        <w:t>Duties of the Plan Sponsor (or its designate)</w:t>
      </w:r>
      <w:bookmarkEnd w:id="55"/>
      <w:bookmarkEnd w:id="56"/>
      <w:bookmarkEnd w:id="57"/>
      <w:bookmarkEnd w:id="58"/>
      <w:bookmarkEnd w:id="59"/>
      <w:bookmarkEnd w:id="60"/>
    </w:p>
    <w:p w14:paraId="73B06AE2" w14:textId="53F19172" w:rsidR="00055E3A" w:rsidRPr="00417097" w:rsidRDefault="00055E3A" w:rsidP="00055E3A">
      <w:pPr>
        <w:pStyle w:val="Heading7"/>
        <w:numPr>
          <w:ilvl w:val="0"/>
          <w:numId w:val="1"/>
        </w:numPr>
        <w:spacing w:line="276" w:lineRule="auto"/>
        <w:jc w:val="both"/>
        <w:rPr>
          <w:rFonts w:asciiTheme="minorHAnsi" w:hAnsiTheme="minorHAnsi" w:cstheme="minorHAnsi"/>
          <w:b w:val="0"/>
          <w:i w:val="0"/>
          <w:sz w:val="20"/>
          <w:szCs w:val="20"/>
        </w:rPr>
      </w:pPr>
      <w:r w:rsidRPr="00417097">
        <w:rPr>
          <w:rFonts w:asciiTheme="minorHAnsi" w:hAnsiTheme="minorHAnsi" w:cstheme="minorHAnsi"/>
          <w:b w:val="0"/>
          <w:i w:val="0"/>
          <w:sz w:val="20"/>
          <w:szCs w:val="20"/>
        </w:rPr>
        <w:t xml:space="preserve">Establish the </w:t>
      </w:r>
      <w:r w:rsidR="002617B4">
        <w:rPr>
          <w:rFonts w:asciiTheme="minorHAnsi" w:hAnsiTheme="minorHAnsi" w:cstheme="minorHAnsi"/>
          <w:b w:val="0"/>
          <w:i w:val="0"/>
          <w:sz w:val="20"/>
          <w:szCs w:val="20"/>
        </w:rPr>
        <w:t>Statement of Investment Policies and Procedures (</w:t>
      </w:r>
      <w:r w:rsidRPr="00417097">
        <w:rPr>
          <w:rFonts w:asciiTheme="minorHAnsi" w:hAnsiTheme="minorHAnsi" w:cstheme="minorHAnsi"/>
          <w:b w:val="0"/>
          <w:i w:val="0"/>
          <w:color w:val="auto"/>
          <w:sz w:val="20"/>
          <w:szCs w:val="20"/>
        </w:rPr>
        <w:t>SIPP</w:t>
      </w:r>
      <w:r w:rsidR="002617B4">
        <w:rPr>
          <w:rFonts w:asciiTheme="minorHAnsi" w:hAnsiTheme="minorHAnsi" w:cstheme="minorHAnsi"/>
          <w:b w:val="0"/>
          <w:i w:val="0"/>
          <w:color w:val="auto"/>
          <w:sz w:val="20"/>
          <w:szCs w:val="20"/>
        </w:rPr>
        <w:t>)</w:t>
      </w:r>
      <w:r w:rsidRPr="00417097">
        <w:rPr>
          <w:rFonts w:asciiTheme="minorHAnsi" w:hAnsiTheme="minorHAnsi" w:cstheme="minorHAnsi"/>
          <w:b w:val="0"/>
          <w:i w:val="0"/>
          <w:color w:val="auto"/>
          <w:sz w:val="20"/>
          <w:szCs w:val="20"/>
        </w:rPr>
        <w:t>.</w:t>
      </w:r>
    </w:p>
    <w:p w14:paraId="5201603A" w14:textId="77777777" w:rsidR="00055E3A" w:rsidRPr="00417097" w:rsidRDefault="00055E3A" w:rsidP="00055E3A">
      <w:pPr>
        <w:pStyle w:val="Heading7"/>
        <w:numPr>
          <w:ilvl w:val="0"/>
          <w:numId w:val="1"/>
        </w:numPr>
        <w:spacing w:line="276" w:lineRule="auto"/>
        <w:jc w:val="both"/>
        <w:rPr>
          <w:rFonts w:asciiTheme="minorHAnsi" w:hAnsiTheme="minorHAnsi" w:cstheme="minorHAnsi"/>
          <w:b w:val="0"/>
          <w:i w:val="0"/>
          <w:sz w:val="20"/>
          <w:szCs w:val="20"/>
        </w:rPr>
      </w:pPr>
      <w:r w:rsidRPr="00417097">
        <w:rPr>
          <w:rFonts w:asciiTheme="minorHAnsi" w:hAnsiTheme="minorHAnsi" w:cstheme="minorHAnsi"/>
          <w:b w:val="0"/>
          <w:i w:val="0"/>
          <w:sz w:val="20"/>
          <w:szCs w:val="20"/>
        </w:rPr>
        <w:t>Periodically review the SIPP and amend it as needed.</w:t>
      </w:r>
    </w:p>
    <w:p w14:paraId="19D5824A" w14:textId="77777777" w:rsidR="00055E3A" w:rsidRPr="00417097" w:rsidRDefault="00055E3A" w:rsidP="00055E3A">
      <w:pPr>
        <w:pStyle w:val="Heading7"/>
        <w:numPr>
          <w:ilvl w:val="0"/>
          <w:numId w:val="1"/>
        </w:numPr>
        <w:spacing w:line="276" w:lineRule="auto"/>
        <w:jc w:val="both"/>
        <w:rPr>
          <w:rFonts w:asciiTheme="minorHAnsi" w:hAnsiTheme="minorHAnsi" w:cstheme="minorHAnsi"/>
          <w:b w:val="0"/>
          <w:i w:val="0"/>
          <w:sz w:val="20"/>
          <w:szCs w:val="20"/>
        </w:rPr>
      </w:pPr>
      <w:r w:rsidRPr="00417097">
        <w:rPr>
          <w:rFonts w:asciiTheme="minorHAnsi" w:hAnsiTheme="minorHAnsi" w:cstheme="minorHAnsi"/>
          <w:b w:val="0"/>
          <w:i w:val="0"/>
          <w:sz w:val="20"/>
          <w:szCs w:val="20"/>
        </w:rPr>
        <w:t>Select the investment options under the Plan, the Service Provider to issue the Group Annuity Policy and as necessary any other third party to provide services under the Plan.</w:t>
      </w:r>
    </w:p>
    <w:p w14:paraId="2EF415F8" w14:textId="77777777" w:rsidR="00055E3A" w:rsidRPr="00417097" w:rsidRDefault="00055E3A" w:rsidP="00055E3A">
      <w:pPr>
        <w:pStyle w:val="Heading7"/>
        <w:numPr>
          <w:ilvl w:val="0"/>
          <w:numId w:val="1"/>
        </w:numPr>
        <w:spacing w:line="276" w:lineRule="auto"/>
        <w:jc w:val="both"/>
        <w:rPr>
          <w:rFonts w:asciiTheme="minorHAnsi" w:hAnsiTheme="minorHAnsi" w:cstheme="minorHAnsi"/>
          <w:b w:val="0"/>
          <w:i w:val="0"/>
          <w:sz w:val="20"/>
          <w:szCs w:val="20"/>
        </w:rPr>
      </w:pPr>
      <w:r w:rsidRPr="00417097">
        <w:rPr>
          <w:rFonts w:asciiTheme="minorHAnsi" w:hAnsiTheme="minorHAnsi" w:cstheme="minorHAnsi"/>
          <w:b w:val="0"/>
          <w:i w:val="0"/>
          <w:sz w:val="20"/>
          <w:szCs w:val="20"/>
        </w:rPr>
        <w:t>Review the Segregated Funds’ investment performance annually.</w:t>
      </w:r>
    </w:p>
    <w:p w14:paraId="64FB90B3" w14:textId="77777777" w:rsidR="00055E3A" w:rsidRPr="00417097" w:rsidRDefault="00055E3A" w:rsidP="00055E3A">
      <w:pPr>
        <w:pStyle w:val="Heading7"/>
        <w:numPr>
          <w:ilvl w:val="0"/>
          <w:numId w:val="1"/>
        </w:numPr>
        <w:spacing w:line="276" w:lineRule="auto"/>
        <w:jc w:val="both"/>
        <w:rPr>
          <w:rFonts w:asciiTheme="minorHAnsi" w:hAnsiTheme="minorHAnsi" w:cstheme="minorHAnsi"/>
          <w:b w:val="0"/>
          <w:i w:val="0"/>
          <w:sz w:val="20"/>
          <w:szCs w:val="20"/>
        </w:rPr>
      </w:pPr>
      <w:r w:rsidRPr="00417097">
        <w:rPr>
          <w:rFonts w:asciiTheme="minorHAnsi" w:hAnsiTheme="minorHAnsi" w:cstheme="minorHAnsi"/>
          <w:b w:val="0"/>
          <w:i w:val="0"/>
          <w:sz w:val="20"/>
          <w:szCs w:val="20"/>
        </w:rPr>
        <w:t>Review the interest rates provided under the Guaranteed Funds annually.</w:t>
      </w:r>
    </w:p>
    <w:p w14:paraId="21EB196B" w14:textId="77777777" w:rsidR="00055E3A" w:rsidRPr="00417097" w:rsidRDefault="00055E3A" w:rsidP="00055E3A">
      <w:pPr>
        <w:pStyle w:val="Heading7"/>
        <w:numPr>
          <w:ilvl w:val="0"/>
          <w:numId w:val="1"/>
        </w:numPr>
        <w:spacing w:line="276" w:lineRule="auto"/>
        <w:jc w:val="both"/>
        <w:rPr>
          <w:rFonts w:asciiTheme="minorHAnsi" w:hAnsiTheme="minorHAnsi" w:cstheme="minorHAnsi"/>
          <w:b w:val="0"/>
          <w:i w:val="0"/>
          <w:sz w:val="20"/>
          <w:szCs w:val="20"/>
        </w:rPr>
      </w:pPr>
      <w:r w:rsidRPr="00417097">
        <w:rPr>
          <w:rFonts w:asciiTheme="minorHAnsi" w:hAnsiTheme="minorHAnsi" w:cstheme="minorHAnsi"/>
          <w:b w:val="0"/>
          <w:i w:val="0"/>
          <w:sz w:val="20"/>
          <w:szCs w:val="20"/>
        </w:rPr>
        <w:t>Review each Investment Manager annually, including the Investment Manager’s financial stability, staff turnover, consistency of investment style, and investment and regulatory compliance.</w:t>
      </w:r>
    </w:p>
    <w:p w14:paraId="533AD10C" w14:textId="77777777" w:rsidR="00055E3A" w:rsidRPr="00417097" w:rsidRDefault="00055E3A" w:rsidP="00055E3A">
      <w:pPr>
        <w:pStyle w:val="Heading7"/>
        <w:numPr>
          <w:ilvl w:val="0"/>
          <w:numId w:val="1"/>
        </w:numPr>
        <w:spacing w:line="276" w:lineRule="auto"/>
        <w:jc w:val="both"/>
        <w:rPr>
          <w:rFonts w:asciiTheme="minorHAnsi" w:hAnsiTheme="minorHAnsi" w:cstheme="minorHAnsi"/>
          <w:b w:val="0"/>
          <w:i w:val="0"/>
          <w:sz w:val="20"/>
          <w:szCs w:val="20"/>
        </w:rPr>
      </w:pPr>
      <w:r w:rsidRPr="00417097">
        <w:rPr>
          <w:rFonts w:asciiTheme="minorHAnsi" w:hAnsiTheme="minorHAnsi" w:cstheme="minorHAnsi"/>
          <w:b w:val="0"/>
          <w:i w:val="0"/>
          <w:sz w:val="20"/>
          <w:szCs w:val="20"/>
        </w:rPr>
        <w:t>Review the appropriateness of the default fund annually.</w:t>
      </w:r>
    </w:p>
    <w:p w14:paraId="12729586" w14:textId="77777777" w:rsidR="00055E3A" w:rsidRPr="00417097" w:rsidRDefault="00055E3A" w:rsidP="00055E3A">
      <w:pPr>
        <w:pStyle w:val="Heading7"/>
        <w:numPr>
          <w:ilvl w:val="0"/>
          <w:numId w:val="1"/>
        </w:numPr>
        <w:spacing w:line="276" w:lineRule="auto"/>
        <w:jc w:val="both"/>
        <w:rPr>
          <w:rFonts w:asciiTheme="minorHAnsi" w:hAnsiTheme="minorHAnsi" w:cstheme="minorHAnsi"/>
          <w:b w:val="0"/>
          <w:i w:val="0"/>
          <w:sz w:val="20"/>
          <w:szCs w:val="20"/>
        </w:rPr>
      </w:pPr>
      <w:r w:rsidRPr="00417097">
        <w:rPr>
          <w:rFonts w:asciiTheme="minorHAnsi" w:hAnsiTheme="minorHAnsi" w:cstheme="minorHAnsi"/>
          <w:b w:val="0"/>
          <w:i w:val="0"/>
          <w:sz w:val="20"/>
          <w:szCs w:val="20"/>
        </w:rPr>
        <w:t>Review the assets and cash flow of the Plan.</w:t>
      </w:r>
    </w:p>
    <w:p w14:paraId="50DEF930" w14:textId="77777777" w:rsidR="00055E3A" w:rsidRPr="00417097" w:rsidRDefault="00055E3A" w:rsidP="00055E3A">
      <w:pPr>
        <w:jc w:val="left"/>
        <w:rPr>
          <w:rFonts w:asciiTheme="minorHAnsi" w:hAnsiTheme="minorHAnsi" w:cstheme="minorHAnsi"/>
          <w:b/>
          <w:caps/>
          <w:kern w:val="28"/>
          <w:sz w:val="20"/>
          <w:szCs w:val="20"/>
        </w:rPr>
      </w:pPr>
      <w:bookmarkStart w:id="61" w:name="_Toc436057459"/>
      <w:bookmarkStart w:id="62" w:name="_Toc454459649"/>
    </w:p>
    <w:p w14:paraId="150A9988" w14:textId="77777777" w:rsidR="00055E3A" w:rsidRPr="00417097" w:rsidRDefault="00055E3A" w:rsidP="00055E3A">
      <w:pPr>
        <w:pStyle w:val="Heading1"/>
        <w:rPr>
          <w:rFonts w:asciiTheme="minorHAnsi" w:hAnsiTheme="minorHAnsi" w:cstheme="minorHAnsi"/>
          <w:i w:val="0"/>
          <w:caps/>
        </w:rPr>
      </w:pPr>
      <w:bookmarkStart w:id="63" w:name="_Toc484506911"/>
      <w:r w:rsidRPr="00417097">
        <w:rPr>
          <w:rFonts w:asciiTheme="minorHAnsi" w:hAnsiTheme="minorHAnsi" w:cstheme="minorHAnsi"/>
          <w:i w:val="0"/>
          <w:caps/>
        </w:rPr>
        <w:t>Funding Structure</w:t>
      </w:r>
      <w:bookmarkEnd w:id="61"/>
      <w:bookmarkEnd w:id="62"/>
      <w:bookmarkEnd w:id="63"/>
    </w:p>
    <w:p w14:paraId="52B0A9E2" w14:textId="77777777" w:rsidR="00055E3A" w:rsidRPr="00417097" w:rsidRDefault="00055E3A" w:rsidP="00055E3A">
      <w:pPr>
        <w:spacing w:line="276" w:lineRule="auto"/>
        <w:rPr>
          <w:rFonts w:asciiTheme="minorHAnsi" w:hAnsiTheme="minorHAnsi" w:cstheme="minorHAnsi"/>
          <w:sz w:val="20"/>
          <w:szCs w:val="20"/>
        </w:rPr>
      </w:pPr>
      <w:r w:rsidRPr="00417097">
        <w:rPr>
          <w:rFonts w:asciiTheme="minorHAnsi" w:hAnsiTheme="minorHAnsi" w:cstheme="minorHAnsi"/>
          <w:sz w:val="20"/>
          <w:szCs w:val="20"/>
        </w:rPr>
        <w:t>The Plan is funded by a Group Annuity Policy issued to the Company by the Service Provider.  The Group Annuity Policy has been established to provide the funding instrument for the Plan and provides a series of Segregated Funds and Guaranteed Funds, if available, as investment options for the contributions made to the Plan.  The Service Provider’s liability to the policyholder will be determined based on the performance of these investment options.</w:t>
      </w:r>
    </w:p>
    <w:p w14:paraId="5E7214C6" w14:textId="77777777" w:rsidR="00055E3A" w:rsidRPr="00417097" w:rsidRDefault="00055E3A" w:rsidP="00055E3A">
      <w:pPr>
        <w:spacing w:line="276" w:lineRule="auto"/>
        <w:rPr>
          <w:rFonts w:asciiTheme="minorHAnsi" w:hAnsiTheme="minorHAnsi" w:cstheme="minorHAnsi"/>
          <w:sz w:val="20"/>
          <w:szCs w:val="20"/>
        </w:rPr>
      </w:pPr>
    </w:p>
    <w:p w14:paraId="5993C951" w14:textId="41A362C1" w:rsidR="00055E3A" w:rsidRPr="00417097" w:rsidRDefault="00055E3A" w:rsidP="00055E3A">
      <w:pPr>
        <w:spacing w:line="276" w:lineRule="auto"/>
        <w:rPr>
          <w:rFonts w:asciiTheme="minorHAnsi" w:hAnsiTheme="minorHAnsi" w:cstheme="minorHAnsi"/>
          <w:sz w:val="20"/>
          <w:szCs w:val="20"/>
        </w:rPr>
      </w:pPr>
      <w:r w:rsidRPr="00417097">
        <w:rPr>
          <w:rFonts w:asciiTheme="minorHAnsi" w:hAnsiTheme="minorHAnsi" w:cstheme="minorHAnsi"/>
          <w:sz w:val="20"/>
          <w:szCs w:val="20"/>
        </w:rPr>
        <w:t>Typically, the holdings of the Segregated Funds are units of the Investment Manager’s Underlying Fund(s).  Some Segregated Funds also hold physical securities of the type and amount determined in accordance with the SIP</w:t>
      </w:r>
      <w:r w:rsidR="00E33364">
        <w:rPr>
          <w:rFonts w:asciiTheme="minorHAnsi" w:hAnsiTheme="minorHAnsi" w:cstheme="minorHAnsi"/>
          <w:sz w:val="20"/>
          <w:szCs w:val="20"/>
        </w:rPr>
        <w:t>P</w:t>
      </w:r>
      <w:r w:rsidRPr="00417097">
        <w:rPr>
          <w:rFonts w:asciiTheme="minorHAnsi" w:hAnsiTheme="minorHAnsi" w:cstheme="minorHAnsi"/>
          <w:sz w:val="20"/>
          <w:szCs w:val="20"/>
        </w:rPr>
        <w:t xml:space="preserve"> of the Segregated Fund.  The Service Provider establishes a contractual relationship with each Investment Manager so </w:t>
      </w:r>
      <w:r w:rsidRPr="00417097">
        <w:rPr>
          <w:rFonts w:asciiTheme="minorHAnsi" w:hAnsiTheme="minorHAnsi" w:cstheme="minorHAnsi"/>
          <w:sz w:val="20"/>
          <w:szCs w:val="20"/>
        </w:rPr>
        <w:lastRenderedPageBreak/>
        <w:t>that they may purchase and redeem units of the Underlying Fund(s).  In turn, the policyholder’s participation in the Segregated Funds is measured by notional units allocated to the policyholder or its members by the Service Provider.</w:t>
      </w:r>
    </w:p>
    <w:p w14:paraId="159F1D04" w14:textId="77777777" w:rsidR="00055E3A" w:rsidRPr="00417097" w:rsidRDefault="00055E3A" w:rsidP="00055E3A">
      <w:pPr>
        <w:spacing w:line="276" w:lineRule="auto"/>
        <w:rPr>
          <w:rFonts w:asciiTheme="minorHAnsi" w:hAnsiTheme="minorHAnsi" w:cstheme="minorHAnsi"/>
          <w:sz w:val="20"/>
          <w:szCs w:val="20"/>
        </w:rPr>
      </w:pPr>
    </w:p>
    <w:p w14:paraId="1428EE35" w14:textId="77777777" w:rsidR="00055E3A" w:rsidRPr="00417097" w:rsidRDefault="00055E3A" w:rsidP="00055E3A">
      <w:pPr>
        <w:spacing w:line="276" w:lineRule="auto"/>
        <w:rPr>
          <w:rFonts w:asciiTheme="minorHAnsi" w:hAnsiTheme="minorHAnsi" w:cstheme="minorHAnsi"/>
          <w:sz w:val="20"/>
          <w:szCs w:val="20"/>
        </w:rPr>
      </w:pPr>
      <w:r w:rsidRPr="00417097">
        <w:rPr>
          <w:rFonts w:asciiTheme="minorHAnsi" w:hAnsiTheme="minorHAnsi" w:cstheme="minorHAnsi"/>
          <w:sz w:val="20"/>
          <w:szCs w:val="20"/>
        </w:rPr>
        <w:t>The Guaranteed Funds, if available, represent a promise of the Service Provider and have claim against the Service Provider’s general assets.  Guaranteed investment certificates (GICs), if available, are term deposits issued by the Service Provider under the terms of a Deposit Agreement.</w:t>
      </w:r>
    </w:p>
    <w:p w14:paraId="0147333C" w14:textId="77777777" w:rsidR="00055E3A" w:rsidRPr="00417097" w:rsidRDefault="00055E3A" w:rsidP="00055E3A">
      <w:pPr>
        <w:rPr>
          <w:rFonts w:asciiTheme="minorHAnsi" w:hAnsiTheme="minorHAnsi" w:cstheme="minorHAnsi"/>
          <w:sz w:val="20"/>
          <w:szCs w:val="20"/>
        </w:rPr>
      </w:pPr>
    </w:p>
    <w:p w14:paraId="23853F51" w14:textId="77777777" w:rsidR="00055E3A" w:rsidRPr="00417097" w:rsidRDefault="00055E3A" w:rsidP="00055E3A">
      <w:pPr>
        <w:pStyle w:val="Heading1"/>
        <w:rPr>
          <w:rFonts w:asciiTheme="minorHAnsi" w:hAnsiTheme="minorHAnsi" w:cstheme="minorHAnsi"/>
          <w:i w:val="0"/>
          <w:caps/>
        </w:rPr>
      </w:pPr>
      <w:bookmarkStart w:id="64" w:name="_Toc436057462"/>
      <w:bookmarkStart w:id="65" w:name="_Toc454459650"/>
      <w:bookmarkStart w:id="66" w:name="_Toc484506912"/>
      <w:bookmarkStart w:id="67" w:name="_Toc172012286"/>
      <w:bookmarkStart w:id="68" w:name="_Toc172012317"/>
      <w:r w:rsidRPr="00417097">
        <w:rPr>
          <w:rFonts w:asciiTheme="minorHAnsi" w:hAnsiTheme="minorHAnsi" w:cstheme="minorHAnsi"/>
          <w:i w:val="0"/>
          <w:caps/>
        </w:rPr>
        <w:t>Investment Principles</w:t>
      </w:r>
      <w:bookmarkEnd w:id="64"/>
      <w:bookmarkEnd w:id="65"/>
      <w:bookmarkEnd w:id="66"/>
    </w:p>
    <w:p w14:paraId="49DADAF2" w14:textId="77777777" w:rsidR="00055E3A" w:rsidRPr="00417097" w:rsidRDefault="00055E3A" w:rsidP="00055E3A">
      <w:pPr>
        <w:spacing w:line="276" w:lineRule="auto"/>
        <w:rPr>
          <w:rFonts w:asciiTheme="minorHAnsi" w:hAnsiTheme="minorHAnsi" w:cstheme="minorHAnsi"/>
          <w:sz w:val="20"/>
          <w:szCs w:val="20"/>
        </w:rPr>
      </w:pPr>
      <w:r w:rsidRPr="00417097">
        <w:rPr>
          <w:rFonts w:asciiTheme="minorHAnsi" w:hAnsiTheme="minorHAnsi" w:cstheme="minorHAnsi"/>
          <w:sz w:val="20"/>
          <w:szCs w:val="20"/>
        </w:rPr>
        <w:t xml:space="preserve">Members bear the investment risk within the Plan. The investment policy is based on the “prudent person portfolio approach,” recognizing that risks that may be unsupportable for an individual investment may be suitable for a well-diversified portfolio. The appropriate asset mix for each member may vary depending on their circumstances, including their objectives, age, investment knowledge, tolerance for risk, other investments, and expectations for long-term returns.  </w:t>
      </w:r>
    </w:p>
    <w:p w14:paraId="6C0E570E" w14:textId="77777777" w:rsidR="00055E3A" w:rsidRPr="00417097" w:rsidRDefault="00055E3A" w:rsidP="00055E3A">
      <w:pPr>
        <w:spacing w:line="276" w:lineRule="auto"/>
        <w:rPr>
          <w:rFonts w:asciiTheme="minorHAnsi" w:hAnsiTheme="minorHAnsi" w:cstheme="minorHAnsi"/>
          <w:sz w:val="20"/>
          <w:szCs w:val="20"/>
        </w:rPr>
      </w:pPr>
    </w:p>
    <w:p w14:paraId="7D2EB436" w14:textId="77777777" w:rsidR="00055E3A" w:rsidRPr="00417097" w:rsidRDefault="00055E3A" w:rsidP="00055E3A">
      <w:pPr>
        <w:spacing w:line="276" w:lineRule="auto"/>
        <w:rPr>
          <w:rFonts w:asciiTheme="minorHAnsi" w:hAnsiTheme="minorHAnsi" w:cstheme="minorHAnsi"/>
          <w:sz w:val="20"/>
          <w:szCs w:val="20"/>
        </w:rPr>
      </w:pPr>
      <w:r w:rsidRPr="00417097">
        <w:rPr>
          <w:rFonts w:asciiTheme="minorHAnsi" w:hAnsiTheme="minorHAnsi" w:cstheme="minorHAnsi"/>
          <w:sz w:val="20"/>
          <w:szCs w:val="20"/>
        </w:rPr>
        <w:t>The Plan Sponsor addresses these diverse needs by offering investment options of varying degrees of risk and expected return that would allow a reasonable and prudent member to create a portfolio of investments that is well adapted to their retirement needs.  The Plan Sponsor believes that members should have access to both lower-fee passive fund options as well as active fund options with value-added potential.  The availability of passive and active funds to members will vary by asset class based upon such factors as availability on the Service Provider’s investment platform, fees, member interest, and historical performance, among others.</w:t>
      </w:r>
    </w:p>
    <w:p w14:paraId="03C46CD6" w14:textId="77777777" w:rsidR="00055E3A" w:rsidRPr="00417097" w:rsidRDefault="00055E3A" w:rsidP="00055E3A">
      <w:pPr>
        <w:spacing w:line="276" w:lineRule="auto"/>
        <w:rPr>
          <w:rFonts w:asciiTheme="minorHAnsi" w:hAnsiTheme="minorHAnsi" w:cstheme="minorHAnsi"/>
          <w:sz w:val="20"/>
          <w:szCs w:val="20"/>
        </w:rPr>
      </w:pPr>
    </w:p>
    <w:p w14:paraId="219012E7" w14:textId="77777777" w:rsidR="00055E3A" w:rsidRPr="00417097" w:rsidRDefault="00055E3A" w:rsidP="00055E3A">
      <w:pPr>
        <w:pStyle w:val="Heading1"/>
        <w:rPr>
          <w:rFonts w:asciiTheme="minorHAnsi" w:hAnsiTheme="minorHAnsi" w:cstheme="minorHAnsi"/>
          <w:i w:val="0"/>
          <w:caps/>
        </w:rPr>
      </w:pPr>
      <w:bookmarkStart w:id="69" w:name="_Toc436215226"/>
      <w:bookmarkStart w:id="70" w:name="_Toc454459651"/>
      <w:bookmarkStart w:id="71" w:name="_Toc484506913"/>
      <w:bookmarkEnd w:id="67"/>
      <w:bookmarkEnd w:id="68"/>
      <w:r w:rsidRPr="00417097">
        <w:rPr>
          <w:rFonts w:asciiTheme="minorHAnsi" w:hAnsiTheme="minorHAnsi" w:cstheme="minorHAnsi"/>
          <w:i w:val="0"/>
          <w:caps/>
        </w:rPr>
        <w:t>Selection of Investment Option</w:t>
      </w:r>
      <w:bookmarkStart w:id="72" w:name="_Toc436215227"/>
      <w:bookmarkEnd w:id="69"/>
      <w:r w:rsidRPr="00417097">
        <w:rPr>
          <w:rFonts w:asciiTheme="minorHAnsi" w:hAnsiTheme="minorHAnsi" w:cstheme="minorHAnsi"/>
          <w:i w:val="0"/>
          <w:caps/>
        </w:rPr>
        <w:t>s</w:t>
      </w:r>
      <w:bookmarkEnd w:id="70"/>
      <w:bookmarkEnd w:id="71"/>
    </w:p>
    <w:p w14:paraId="2F31F47F" w14:textId="77777777" w:rsidR="00055E3A" w:rsidRPr="00417097" w:rsidRDefault="00055E3A" w:rsidP="00055E3A">
      <w:pPr>
        <w:spacing w:line="276" w:lineRule="auto"/>
        <w:rPr>
          <w:rFonts w:asciiTheme="minorHAnsi" w:hAnsiTheme="minorHAnsi" w:cstheme="minorHAnsi"/>
          <w:sz w:val="20"/>
          <w:szCs w:val="20"/>
        </w:rPr>
      </w:pPr>
      <w:r w:rsidRPr="00417097">
        <w:rPr>
          <w:rFonts w:asciiTheme="minorHAnsi" w:hAnsiTheme="minorHAnsi" w:cstheme="minorHAnsi"/>
          <w:sz w:val="20"/>
          <w:szCs w:val="20"/>
        </w:rPr>
        <w:t>Both qualitative and quantitative attributes are considered in the selection by the Plan Sponsor of the Plan’s investment options, including investment objectives, strategies, risks, length of track record, historical performance, stability of the firm and key investment decision-makers, fees and liquidity.</w:t>
      </w:r>
    </w:p>
    <w:p w14:paraId="2A7D780A" w14:textId="77777777" w:rsidR="00055E3A" w:rsidRPr="00417097" w:rsidRDefault="00055E3A" w:rsidP="00055E3A">
      <w:pPr>
        <w:spacing w:line="276" w:lineRule="auto"/>
        <w:rPr>
          <w:rFonts w:asciiTheme="minorHAnsi" w:hAnsiTheme="minorHAnsi" w:cstheme="minorHAnsi"/>
          <w:sz w:val="20"/>
          <w:szCs w:val="20"/>
        </w:rPr>
      </w:pPr>
    </w:p>
    <w:p w14:paraId="2A72F18C" w14:textId="77777777" w:rsidR="00055E3A" w:rsidRPr="00417097" w:rsidRDefault="00055E3A" w:rsidP="00055E3A">
      <w:pPr>
        <w:pStyle w:val="Heading2"/>
        <w:rPr>
          <w:rFonts w:asciiTheme="minorHAnsi" w:hAnsiTheme="minorHAnsi" w:cstheme="minorHAnsi"/>
          <w:i w:val="0"/>
        </w:rPr>
      </w:pPr>
      <w:bookmarkStart w:id="73" w:name="_Toc454459652"/>
      <w:bookmarkStart w:id="74" w:name="_Toc484506914"/>
      <w:r w:rsidRPr="00417097">
        <w:rPr>
          <w:rFonts w:asciiTheme="minorHAnsi" w:hAnsiTheme="minorHAnsi" w:cstheme="minorHAnsi"/>
          <w:i w:val="0"/>
        </w:rPr>
        <w:t>Authorized Investment Categories</w:t>
      </w:r>
      <w:bookmarkEnd w:id="72"/>
      <w:bookmarkEnd w:id="73"/>
      <w:bookmarkEnd w:id="74"/>
    </w:p>
    <w:p w14:paraId="16A96081" w14:textId="77777777" w:rsidR="00055E3A" w:rsidRPr="00417097" w:rsidRDefault="00055E3A" w:rsidP="00055E3A">
      <w:pPr>
        <w:spacing w:line="276" w:lineRule="auto"/>
        <w:ind w:left="720"/>
        <w:rPr>
          <w:rFonts w:asciiTheme="minorHAnsi" w:hAnsiTheme="minorHAnsi" w:cstheme="minorHAnsi"/>
          <w:sz w:val="20"/>
          <w:szCs w:val="20"/>
          <w:lang w:val="en-CA"/>
        </w:rPr>
      </w:pPr>
      <w:r w:rsidRPr="00417097">
        <w:rPr>
          <w:rFonts w:asciiTheme="minorHAnsi" w:hAnsiTheme="minorHAnsi" w:cstheme="minorHAnsi"/>
          <w:sz w:val="20"/>
          <w:szCs w:val="20"/>
        </w:rPr>
        <w:t xml:space="preserve">The Plan makes available a range of asset classes with different risk and return profiles and diversification potential available to members. </w:t>
      </w:r>
      <w:r w:rsidRPr="00417097">
        <w:rPr>
          <w:rFonts w:asciiTheme="minorHAnsi" w:hAnsiTheme="minorHAnsi" w:cstheme="minorHAnsi"/>
          <w:sz w:val="20"/>
          <w:szCs w:val="20"/>
          <w:lang w:val="en-CA"/>
        </w:rPr>
        <w:t xml:space="preserve">The selection of investment options offered by the Plan Sponsor reflects its view that higher risk investments are expected to generate higher returns in the long term than lower risk investments and that diversification can be used as a tool to mitigate portfolio risk. </w:t>
      </w:r>
    </w:p>
    <w:p w14:paraId="7AE7E3C4" w14:textId="77777777" w:rsidR="00055E3A" w:rsidRPr="00417097" w:rsidRDefault="00055E3A" w:rsidP="00055E3A">
      <w:pPr>
        <w:spacing w:line="276" w:lineRule="auto"/>
        <w:rPr>
          <w:rFonts w:asciiTheme="minorHAnsi" w:hAnsiTheme="minorHAnsi" w:cstheme="minorHAnsi"/>
          <w:sz w:val="20"/>
          <w:szCs w:val="20"/>
          <w:lang w:val="en-CA"/>
        </w:rPr>
      </w:pPr>
    </w:p>
    <w:p w14:paraId="2D19CB2B" w14:textId="77777777" w:rsidR="00055E3A" w:rsidRPr="00417097" w:rsidRDefault="00055E3A" w:rsidP="00055E3A">
      <w:pPr>
        <w:spacing w:line="276" w:lineRule="auto"/>
        <w:ind w:left="720"/>
        <w:rPr>
          <w:rFonts w:asciiTheme="minorHAnsi" w:eastAsia="Arial" w:hAnsiTheme="minorHAnsi" w:cstheme="minorHAnsi"/>
          <w:sz w:val="20"/>
          <w:szCs w:val="20"/>
          <w:lang w:val="en-CA" w:eastAsia="en-CA" w:bidi="en-CA"/>
        </w:rPr>
      </w:pPr>
      <w:r w:rsidRPr="00417097">
        <w:rPr>
          <w:rFonts w:asciiTheme="minorHAnsi" w:hAnsiTheme="minorHAnsi" w:cstheme="minorHAnsi"/>
          <w:sz w:val="20"/>
          <w:szCs w:val="20"/>
          <w:lang w:val="en-CA"/>
        </w:rPr>
        <w:t>The Plan Sponsor has also taken into consideration the merits of a passive and an active investment approach when selecting the funds offered to members.</w:t>
      </w:r>
      <w:r w:rsidRPr="00417097">
        <w:rPr>
          <w:rFonts w:asciiTheme="minorHAnsi" w:eastAsia="Arial" w:hAnsiTheme="minorHAnsi" w:cstheme="minorHAnsi"/>
          <w:sz w:val="20"/>
          <w:szCs w:val="20"/>
          <w:lang w:val="en-CA" w:eastAsia="en-CA" w:bidi="en-CA"/>
        </w:rPr>
        <w:t xml:space="preserve"> </w:t>
      </w:r>
      <w:r w:rsidRPr="00417097">
        <w:rPr>
          <w:rFonts w:asciiTheme="minorHAnsi" w:hAnsiTheme="minorHAnsi" w:cstheme="minorHAnsi"/>
          <w:sz w:val="20"/>
          <w:szCs w:val="20"/>
          <w:lang w:val="en-CA"/>
        </w:rPr>
        <w:t xml:space="preserve">The breakdown of members by age group may vary considerably. Thus, the investment options and investment support tools provided by to members must enable everyone to make choices appropriate in their personal situation. </w:t>
      </w:r>
    </w:p>
    <w:p w14:paraId="5193F8ED" w14:textId="77777777" w:rsidR="00055E3A" w:rsidRPr="00417097" w:rsidRDefault="00055E3A" w:rsidP="00055E3A">
      <w:pPr>
        <w:spacing w:line="276" w:lineRule="auto"/>
        <w:rPr>
          <w:rFonts w:asciiTheme="minorHAnsi" w:hAnsiTheme="minorHAnsi" w:cstheme="minorHAnsi"/>
          <w:sz w:val="20"/>
          <w:szCs w:val="20"/>
        </w:rPr>
      </w:pPr>
    </w:p>
    <w:p w14:paraId="34C180CD" w14:textId="77777777" w:rsidR="00055E3A" w:rsidRPr="00417097" w:rsidRDefault="00055E3A" w:rsidP="00055E3A">
      <w:pPr>
        <w:spacing w:line="276" w:lineRule="auto"/>
        <w:ind w:left="720"/>
        <w:rPr>
          <w:rFonts w:asciiTheme="minorHAnsi" w:hAnsiTheme="minorHAnsi" w:cstheme="minorHAnsi"/>
          <w:sz w:val="20"/>
          <w:szCs w:val="20"/>
        </w:rPr>
      </w:pPr>
      <w:r w:rsidRPr="00417097">
        <w:rPr>
          <w:rFonts w:asciiTheme="minorHAnsi" w:hAnsiTheme="minorHAnsi" w:cstheme="minorHAnsi"/>
          <w:sz w:val="20"/>
          <w:szCs w:val="20"/>
        </w:rPr>
        <w:t xml:space="preserve">This would allow a reasonable and prudent member to create a portfolio of investments that is well adapted to their retirement needs. Asset classes have been selected keeping in mind the objective of the Plan and the diversity in demographics, return objectives, risk tolerance, and investment knowledge of members. </w:t>
      </w:r>
    </w:p>
    <w:p w14:paraId="7E77171B" w14:textId="77777777" w:rsidR="00055E3A" w:rsidRPr="00417097" w:rsidRDefault="00055E3A" w:rsidP="00055E3A">
      <w:pPr>
        <w:rPr>
          <w:rFonts w:asciiTheme="minorHAnsi" w:hAnsiTheme="minorHAnsi" w:cstheme="minorHAnsi"/>
          <w:sz w:val="20"/>
          <w:szCs w:val="20"/>
        </w:rPr>
      </w:pPr>
    </w:p>
    <w:p w14:paraId="39BE5075" w14:textId="77777777" w:rsidR="00055E3A" w:rsidRPr="00417097" w:rsidRDefault="00055E3A" w:rsidP="00055E3A">
      <w:pPr>
        <w:jc w:val="left"/>
        <w:rPr>
          <w:rFonts w:asciiTheme="minorHAnsi" w:hAnsiTheme="minorHAnsi" w:cstheme="minorHAnsi"/>
          <w:b/>
        </w:rPr>
      </w:pPr>
      <w:bookmarkStart w:id="75" w:name="_Toc454459653"/>
      <w:r w:rsidRPr="00417097">
        <w:rPr>
          <w:rFonts w:asciiTheme="minorHAnsi" w:hAnsiTheme="minorHAnsi" w:cstheme="minorHAnsi"/>
          <w:i/>
        </w:rPr>
        <w:br w:type="page"/>
      </w:r>
    </w:p>
    <w:p w14:paraId="552176D6" w14:textId="77777777" w:rsidR="00055E3A" w:rsidRPr="00417097" w:rsidRDefault="00055E3A" w:rsidP="00055E3A">
      <w:pPr>
        <w:pStyle w:val="Heading2"/>
        <w:rPr>
          <w:rFonts w:asciiTheme="minorHAnsi" w:hAnsiTheme="minorHAnsi" w:cstheme="minorHAnsi"/>
          <w:i w:val="0"/>
        </w:rPr>
      </w:pPr>
      <w:bookmarkStart w:id="76" w:name="_Toc484506915"/>
      <w:r w:rsidRPr="00417097">
        <w:rPr>
          <w:rFonts w:asciiTheme="minorHAnsi" w:hAnsiTheme="minorHAnsi" w:cstheme="minorHAnsi"/>
          <w:i w:val="0"/>
        </w:rPr>
        <w:lastRenderedPageBreak/>
        <w:t>Investment Options Offered Under the Plan</w:t>
      </w:r>
      <w:bookmarkEnd w:id="75"/>
      <w:bookmarkEnd w:id="76"/>
    </w:p>
    <w:p w14:paraId="7FD8E3E1" w14:textId="77777777" w:rsidR="00055E3A" w:rsidRPr="00417097" w:rsidRDefault="00055E3A" w:rsidP="00055E3A">
      <w:pPr>
        <w:rPr>
          <w:rFonts w:asciiTheme="minorHAnsi" w:hAnsiTheme="minorHAnsi" w:cstheme="minorHAnsi"/>
          <w:sz w:val="20"/>
          <w:szCs w:val="20"/>
        </w:rPr>
      </w:pPr>
      <w:r w:rsidRPr="00417097">
        <w:rPr>
          <w:rFonts w:asciiTheme="minorHAnsi" w:hAnsiTheme="minorHAnsi" w:cstheme="minorHAnsi"/>
          <w:sz w:val="20"/>
          <w:szCs w:val="20"/>
        </w:rPr>
        <w:t>The following investment categories may be made available to members:</w:t>
      </w:r>
    </w:p>
    <w:p w14:paraId="3EAB1D68" w14:textId="77777777" w:rsidR="00055E3A" w:rsidRPr="00417097" w:rsidRDefault="00055E3A" w:rsidP="00055E3A">
      <w:pPr>
        <w:pStyle w:val="ListParagraph"/>
        <w:numPr>
          <w:ilvl w:val="0"/>
          <w:numId w:val="2"/>
        </w:numPr>
        <w:spacing w:after="200" w:line="276" w:lineRule="auto"/>
        <w:ind w:left="1440"/>
        <w:contextualSpacing/>
        <w:rPr>
          <w:rFonts w:asciiTheme="minorHAnsi" w:hAnsiTheme="minorHAnsi" w:cstheme="minorHAnsi"/>
          <w:sz w:val="20"/>
          <w:szCs w:val="20"/>
        </w:rPr>
      </w:pPr>
      <w:r w:rsidRPr="00417097">
        <w:rPr>
          <w:rFonts w:asciiTheme="minorHAnsi" w:hAnsiTheme="minorHAnsi" w:cstheme="minorHAnsi"/>
          <w:sz w:val="20"/>
          <w:szCs w:val="20"/>
        </w:rPr>
        <w:t>Daily interest account;</w:t>
      </w:r>
    </w:p>
    <w:p w14:paraId="4594038F" w14:textId="77777777" w:rsidR="00055E3A" w:rsidRPr="00417097" w:rsidRDefault="00055E3A" w:rsidP="00055E3A">
      <w:pPr>
        <w:pStyle w:val="ListParagraph"/>
        <w:numPr>
          <w:ilvl w:val="0"/>
          <w:numId w:val="2"/>
        </w:numPr>
        <w:spacing w:after="200" w:line="276" w:lineRule="auto"/>
        <w:ind w:left="1440"/>
        <w:contextualSpacing/>
        <w:rPr>
          <w:rFonts w:asciiTheme="minorHAnsi" w:hAnsiTheme="minorHAnsi" w:cstheme="minorHAnsi"/>
          <w:sz w:val="20"/>
          <w:szCs w:val="20"/>
        </w:rPr>
      </w:pPr>
      <w:r w:rsidRPr="00417097">
        <w:rPr>
          <w:rFonts w:asciiTheme="minorHAnsi" w:hAnsiTheme="minorHAnsi" w:cstheme="minorHAnsi"/>
          <w:sz w:val="20"/>
          <w:szCs w:val="20"/>
        </w:rPr>
        <w:t>Guaranteed investments;</w:t>
      </w:r>
    </w:p>
    <w:p w14:paraId="5A596A8D" w14:textId="77777777" w:rsidR="00055E3A" w:rsidRPr="00417097" w:rsidRDefault="00055E3A" w:rsidP="00055E3A">
      <w:pPr>
        <w:pStyle w:val="ListParagraph"/>
        <w:numPr>
          <w:ilvl w:val="0"/>
          <w:numId w:val="2"/>
        </w:numPr>
        <w:spacing w:after="200" w:line="276" w:lineRule="auto"/>
        <w:ind w:left="1440"/>
        <w:contextualSpacing/>
        <w:rPr>
          <w:rFonts w:asciiTheme="minorHAnsi" w:hAnsiTheme="minorHAnsi" w:cstheme="minorHAnsi"/>
          <w:sz w:val="20"/>
          <w:szCs w:val="20"/>
        </w:rPr>
      </w:pPr>
      <w:r w:rsidRPr="00417097">
        <w:rPr>
          <w:rFonts w:asciiTheme="minorHAnsi" w:hAnsiTheme="minorHAnsi" w:cstheme="minorHAnsi"/>
          <w:sz w:val="20"/>
          <w:szCs w:val="20"/>
        </w:rPr>
        <w:t>Investment funds including target retirement &amp; target risk portfolios; and</w:t>
      </w:r>
    </w:p>
    <w:p w14:paraId="335988C0" w14:textId="77777777" w:rsidR="00055E3A" w:rsidRPr="00417097" w:rsidRDefault="00055E3A" w:rsidP="00055E3A">
      <w:pPr>
        <w:pStyle w:val="ListParagraph"/>
        <w:numPr>
          <w:ilvl w:val="0"/>
          <w:numId w:val="2"/>
        </w:numPr>
        <w:spacing w:after="200" w:line="276" w:lineRule="auto"/>
        <w:ind w:left="1440"/>
        <w:contextualSpacing/>
        <w:rPr>
          <w:rFonts w:asciiTheme="minorHAnsi" w:hAnsiTheme="minorHAnsi" w:cstheme="minorHAnsi"/>
          <w:sz w:val="20"/>
          <w:szCs w:val="20"/>
        </w:rPr>
      </w:pPr>
      <w:r w:rsidRPr="00417097">
        <w:rPr>
          <w:rFonts w:asciiTheme="minorHAnsi" w:hAnsiTheme="minorHAnsi" w:cstheme="minorHAnsi"/>
          <w:sz w:val="20"/>
          <w:szCs w:val="20"/>
        </w:rPr>
        <w:t>Segregated funds in a range of different asset classes.</w:t>
      </w:r>
    </w:p>
    <w:p w14:paraId="0CE00C50" w14:textId="77777777" w:rsidR="00055E3A" w:rsidRPr="00417097" w:rsidRDefault="00055E3A" w:rsidP="00055E3A">
      <w:pPr>
        <w:spacing w:line="276" w:lineRule="auto"/>
        <w:rPr>
          <w:rFonts w:asciiTheme="minorHAnsi" w:hAnsiTheme="minorHAnsi" w:cstheme="minorHAnsi"/>
          <w:sz w:val="20"/>
          <w:szCs w:val="20"/>
        </w:rPr>
      </w:pPr>
      <w:r w:rsidRPr="00417097">
        <w:rPr>
          <w:rFonts w:asciiTheme="minorHAnsi" w:hAnsiTheme="minorHAnsi" w:cstheme="minorHAnsi"/>
          <w:sz w:val="20"/>
          <w:szCs w:val="20"/>
        </w:rPr>
        <w:t xml:space="preserve">In recognition that offering too many investment fund choices may lead to member confusion and indecision, the Plan Sponsor believes that it must strike a balance between choice and ease-of-use, and has elected to make approximately </w:t>
      </w:r>
      <w:r w:rsidRPr="000918A2">
        <w:rPr>
          <w:rFonts w:asciiTheme="minorHAnsi" w:hAnsiTheme="minorHAnsi" w:cstheme="minorHAnsi"/>
          <w:sz w:val="20"/>
          <w:szCs w:val="20"/>
          <w:highlight w:val="yellow"/>
        </w:rPr>
        <w:t>15 fund options</w:t>
      </w:r>
      <w:r w:rsidRPr="000918A2">
        <w:rPr>
          <w:rFonts w:asciiTheme="minorHAnsi" w:hAnsiTheme="minorHAnsi" w:cstheme="minorHAnsi"/>
          <w:sz w:val="20"/>
          <w:szCs w:val="20"/>
        </w:rPr>
        <w:t xml:space="preserve"> </w:t>
      </w:r>
      <w:r w:rsidRPr="00417097">
        <w:rPr>
          <w:rFonts w:asciiTheme="minorHAnsi" w:hAnsiTheme="minorHAnsi" w:cstheme="minorHAnsi"/>
          <w:sz w:val="20"/>
          <w:szCs w:val="20"/>
        </w:rPr>
        <w:t>available to members. The Plan Sponsor reserves the right to increase or decrease the number of investment fund options made available from time to time. The investment options offered to members is set out in Appendix A.</w:t>
      </w:r>
    </w:p>
    <w:p w14:paraId="0A451562" w14:textId="77777777" w:rsidR="00055E3A" w:rsidRPr="00417097" w:rsidRDefault="00055E3A" w:rsidP="00055E3A">
      <w:pPr>
        <w:spacing w:line="276" w:lineRule="auto"/>
        <w:rPr>
          <w:rFonts w:asciiTheme="minorHAnsi" w:hAnsiTheme="minorHAnsi" w:cstheme="minorHAnsi"/>
          <w:sz w:val="20"/>
          <w:szCs w:val="20"/>
        </w:rPr>
      </w:pPr>
    </w:p>
    <w:p w14:paraId="17520C8C" w14:textId="77777777" w:rsidR="00055E3A" w:rsidRPr="00417097" w:rsidRDefault="00055E3A" w:rsidP="00055E3A">
      <w:pPr>
        <w:pStyle w:val="Heading2"/>
        <w:rPr>
          <w:rFonts w:asciiTheme="minorHAnsi" w:hAnsiTheme="minorHAnsi" w:cstheme="minorHAnsi"/>
          <w:i w:val="0"/>
        </w:rPr>
      </w:pPr>
      <w:bookmarkStart w:id="77" w:name="_Toc454459654"/>
      <w:bookmarkStart w:id="78" w:name="_Toc484506916"/>
      <w:r w:rsidRPr="00417097">
        <w:rPr>
          <w:rFonts w:asciiTheme="minorHAnsi" w:hAnsiTheme="minorHAnsi" w:cstheme="minorHAnsi"/>
          <w:i w:val="0"/>
        </w:rPr>
        <w:t>Default Fund</w:t>
      </w:r>
      <w:bookmarkEnd w:id="77"/>
      <w:bookmarkEnd w:id="78"/>
    </w:p>
    <w:p w14:paraId="41B81653" w14:textId="77777777" w:rsidR="00055E3A" w:rsidRPr="00417097" w:rsidRDefault="00055E3A" w:rsidP="00055E3A">
      <w:pPr>
        <w:spacing w:line="276" w:lineRule="auto"/>
        <w:rPr>
          <w:rFonts w:asciiTheme="minorHAnsi" w:hAnsiTheme="minorHAnsi" w:cstheme="minorHAnsi"/>
          <w:sz w:val="20"/>
          <w:szCs w:val="20"/>
        </w:rPr>
      </w:pPr>
      <w:r w:rsidRPr="00417097">
        <w:rPr>
          <w:rFonts w:asciiTheme="minorHAnsi" w:hAnsiTheme="minorHAnsi" w:cstheme="minorHAnsi"/>
          <w:sz w:val="20"/>
          <w:szCs w:val="20"/>
        </w:rPr>
        <w:t xml:space="preserve">In the event that a member does not make an active investment selection on their enrolment form or during such subsequent event which requires the member’s decision, the member’s contributions and those of the Plan Sponsor’s (if applicable) plus investment earnings thereon, will be directed in their entirety to the Segregated Fund or Investment Portfolio identified in Appendix A as the default fund.   The Plan Sponsor reserves the right to remove an existing default fund, and select a new investment option as the default fund from time to time.  Upon the removal of a default fund, the Plan Sponsor reserves the right to transfer the member’s account balance to the newly selected default fund in the event that the member has not made an election in respect of his or her account balance. </w:t>
      </w:r>
    </w:p>
    <w:p w14:paraId="4E3D4239" w14:textId="77777777" w:rsidR="00055E3A" w:rsidRPr="00417097" w:rsidRDefault="00055E3A" w:rsidP="00055E3A">
      <w:pPr>
        <w:spacing w:line="276" w:lineRule="auto"/>
        <w:rPr>
          <w:rFonts w:asciiTheme="minorHAnsi" w:hAnsiTheme="minorHAnsi" w:cstheme="minorHAnsi"/>
          <w:sz w:val="20"/>
          <w:szCs w:val="20"/>
        </w:rPr>
      </w:pPr>
    </w:p>
    <w:p w14:paraId="1F2256E8" w14:textId="77777777" w:rsidR="00055E3A" w:rsidRPr="00417097" w:rsidRDefault="00055E3A" w:rsidP="00055E3A">
      <w:pPr>
        <w:pStyle w:val="Heading2"/>
        <w:rPr>
          <w:rFonts w:asciiTheme="minorHAnsi" w:hAnsiTheme="minorHAnsi" w:cstheme="minorHAnsi"/>
          <w:i w:val="0"/>
        </w:rPr>
      </w:pPr>
      <w:bookmarkStart w:id="79" w:name="_Toc436215233"/>
      <w:bookmarkStart w:id="80" w:name="_Toc454459655"/>
      <w:bookmarkStart w:id="81" w:name="_Toc484506917"/>
      <w:r w:rsidRPr="00417097">
        <w:rPr>
          <w:rFonts w:asciiTheme="minorHAnsi" w:hAnsiTheme="minorHAnsi" w:cstheme="minorHAnsi"/>
          <w:i w:val="0"/>
        </w:rPr>
        <w:t>Investment Fund Management Fees</w:t>
      </w:r>
      <w:bookmarkEnd w:id="79"/>
      <w:bookmarkEnd w:id="80"/>
      <w:bookmarkEnd w:id="81"/>
    </w:p>
    <w:p w14:paraId="036CBFBA" w14:textId="77777777" w:rsidR="00055E3A" w:rsidRPr="00417097" w:rsidRDefault="00055E3A" w:rsidP="00055E3A">
      <w:pPr>
        <w:spacing w:line="276" w:lineRule="auto"/>
        <w:rPr>
          <w:rFonts w:asciiTheme="minorHAnsi" w:hAnsiTheme="minorHAnsi" w:cstheme="minorHAnsi"/>
          <w:sz w:val="20"/>
          <w:szCs w:val="20"/>
        </w:rPr>
      </w:pPr>
      <w:r w:rsidRPr="00417097">
        <w:rPr>
          <w:rFonts w:asciiTheme="minorHAnsi" w:hAnsiTheme="minorHAnsi" w:cstheme="minorHAnsi"/>
          <w:sz w:val="20"/>
          <w:szCs w:val="20"/>
        </w:rPr>
        <w:t xml:space="preserve">Details on investment fund management fees are available on the secure website of the Service Provider as established in the funding agreement between the Plan Sponsor and the Service Provider. </w:t>
      </w:r>
    </w:p>
    <w:p w14:paraId="7E03F3F2" w14:textId="77777777" w:rsidR="00055E3A" w:rsidRPr="00417097" w:rsidRDefault="00055E3A" w:rsidP="00055E3A">
      <w:pPr>
        <w:spacing w:line="276" w:lineRule="auto"/>
        <w:rPr>
          <w:rFonts w:asciiTheme="minorHAnsi" w:hAnsiTheme="minorHAnsi" w:cstheme="minorHAnsi"/>
          <w:sz w:val="20"/>
          <w:szCs w:val="20"/>
        </w:rPr>
      </w:pPr>
    </w:p>
    <w:p w14:paraId="78B27FA6" w14:textId="77777777" w:rsidR="00055E3A" w:rsidRPr="00417097" w:rsidRDefault="00055E3A" w:rsidP="00055E3A">
      <w:pPr>
        <w:spacing w:line="276" w:lineRule="auto"/>
        <w:rPr>
          <w:rFonts w:asciiTheme="minorHAnsi" w:hAnsiTheme="minorHAnsi" w:cstheme="minorHAnsi"/>
          <w:sz w:val="20"/>
          <w:szCs w:val="20"/>
        </w:rPr>
      </w:pPr>
      <w:r w:rsidRPr="000918A2">
        <w:rPr>
          <w:rFonts w:asciiTheme="minorHAnsi" w:hAnsiTheme="minorHAnsi" w:cstheme="minorHAnsi"/>
          <w:sz w:val="20"/>
          <w:szCs w:val="20"/>
          <w:highlight w:val="yellow"/>
        </w:rPr>
        <w:t>The Plan Sponsor has elected to pay an annual fee per member to the Service Provider in order to reduce member fund management charges.</w:t>
      </w:r>
      <w:r w:rsidRPr="000918A2">
        <w:rPr>
          <w:rFonts w:asciiTheme="minorHAnsi" w:hAnsiTheme="minorHAnsi" w:cstheme="minorHAnsi"/>
          <w:sz w:val="20"/>
          <w:szCs w:val="20"/>
        </w:rPr>
        <w:t xml:space="preserve"> </w:t>
      </w:r>
      <w:r w:rsidRPr="00417097">
        <w:rPr>
          <w:rFonts w:asciiTheme="minorHAnsi" w:hAnsiTheme="minorHAnsi" w:cstheme="minorHAnsi"/>
          <w:sz w:val="20"/>
          <w:szCs w:val="20"/>
        </w:rPr>
        <w:t>The Plan Sponsor pays various Plan expenses to maintain the Plan, including the engagement of various third-party service providers. Investment fund management, operating and distribution fees, in addition to all applicable taxes, are deducted directly from the funds or from the members’ accounts. Members may also incur additional fees or penalties for certain transactions such as asset transfers and withdrawals. The Plan Sponsor reviews the fund management charges and other fees and Plan expenses every 3-5 years.</w:t>
      </w:r>
    </w:p>
    <w:p w14:paraId="72D80381" w14:textId="77777777" w:rsidR="00055E3A" w:rsidRPr="00417097" w:rsidRDefault="00055E3A" w:rsidP="00055E3A">
      <w:pPr>
        <w:spacing w:line="276" w:lineRule="auto"/>
        <w:rPr>
          <w:rFonts w:asciiTheme="minorHAnsi" w:hAnsiTheme="minorHAnsi" w:cstheme="minorHAnsi"/>
          <w:sz w:val="20"/>
          <w:szCs w:val="20"/>
        </w:rPr>
      </w:pPr>
    </w:p>
    <w:p w14:paraId="640B63F9" w14:textId="77777777" w:rsidR="00055E3A" w:rsidRPr="00417097" w:rsidRDefault="00055E3A" w:rsidP="00055E3A">
      <w:pPr>
        <w:spacing w:line="276" w:lineRule="auto"/>
        <w:rPr>
          <w:rFonts w:asciiTheme="minorHAnsi" w:hAnsiTheme="minorHAnsi" w:cstheme="minorHAnsi"/>
          <w:sz w:val="20"/>
          <w:szCs w:val="20"/>
        </w:rPr>
      </w:pPr>
    </w:p>
    <w:p w14:paraId="240727E4" w14:textId="77777777" w:rsidR="00055E3A" w:rsidRPr="00417097" w:rsidRDefault="00055E3A" w:rsidP="00055E3A">
      <w:pPr>
        <w:spacing w:line="276" w:lineRule="auto"/>
        <w:rPr>
          <w:rFonts w:asciiTheme="minorHAnsi" w:hAnsiTheme="minorHAnsi" w:cstheme="minorHAnsi"/>
          <w:sz w:val="20"/>
          <w:szCs w:val="20"/>
        </w:rPr>
      </w:pPr>
    </w:p>
    <w:p w14:paraId="419226E7" w14:textId="77777777" w:rsidR="00055E3A" w:rsidRPr="00417097" w:rsidRDefault="00055E3A" w:rsidP="00055E3A">
      <w:pPr>
        <w:rPr>
          <w:rFonts w:asciiTheme="minorHAnsi" w:hAnsiTheme="minorHAnsi" w:cstheme="minorHAnsi"/>
          <w:b/>
          <w:i/>
          <w:kern w:val="28"/>
          <w:sz w:val="20"/>
          <w:szCs w:val="20"/>
        </w:rPr>
      </w:pPr>
      <w:bookmarkStart w:id="82" w:name="_Toc436057470"/>
      <w:r w:rsidRPr="00417097">
        <w:rPr>
          <w:rFonts w:asciiTheme="minorHAnsi" w:hAnsiTheme="minorHAnsi" w:cstheme="minorHAnsi"/>
          <w:sz w:val="20"/>
          <w:szCs w:val="20"/>
        </w:rPr>
        <w:br w:type="page"/>
      </w:r>
    </w:p>
    <w:p w14:paraId="1EEB33ED" w14:textId="77777777" w:rsidR="00055E3A" w:rsidRPr="00417097" w:rsidRDefault="00055E3A" w:rsidP="00055E3A">
      <w:pPr>
        <w:pStyle w:val="Heading1"/>
        <w:rPr>
          <w:rFonts w:asciiTheme="minorHAnsi" w:hAnsiTheme="minorHAnsi" w:cstheme="minorHAnsi"/>
          <w:i w:val="0"/>
          <w:caps/>
        </w:rPr>
      </w:pPr>
      <w:bookmarkStart w:id="83" w:name="_Toc434164664"/>
      <w:bookmarkStart w:id="84" w:name="_Toc434393311"/>
      <w:bookmarkStart w:id="85" w:name="_Toc434393350"/>
      <w:bookmarkStart w:id="86" w:name="_Toc434394761"/>
      <w:bookmarkStart w:id="87" w:name="_Toc434396924"/>
      <w:bookmarkStart w:id="88" w:name="_Toc434397011"/>
      <w:bookmarkStart w:id="89" w:name="_Toc434408240"/>
      <w:bookmarkStart w:id="90" w:name="_Toc434410147"/>
      <w:bookmarkStart w:id="91" w:name="_Toc434410187"/>
      <w:bookmarkStart w:id="92" w:name="_Toc434424165"/>
      <w:bookmarkStart w:id="93" w:name="_Toc434424204"/>
      <w:bookmarkStart w:id="94" w:name="_Toc434424364"/>
      <w:bookmarkStart w:id="95" w:name="_Toc434424403"/>
      <w:bookmarkStart w:id="96" w:name="_Toc434424440"/>
      <w:bookmarkStart w:id="97" w:name="_Toc434424479"/>
      <w:bookmarkStart w:id="98" w:name="_Toc434424518"/>
      <w:bookmarkStart w:id="99" w:name="_Toc434424557"/>
      <w:bookmarkStart w:id="100" w:name="_Toc434424594"/>
      <w:bookmarkStart w:id="101" w:name="_Toc434424631"/>
      <w:bookmarkStart w:id="102" w:name="_Toc434424670"/>
      <w:bookmarkStart w:id="103" w:name="_Toc434424709"/>
      <w:bookmarkStart w:id="104" w:name="_Toc434424750"/>
      <w:bookmarkStart w:id="105" w:name="_Toc434424787"/>
      <w:bookmarkStart w:id="106" w:name="_Toc434424824"/>
      <w:bookmarkStart w:id="107" w:name="_Toc434424861"/>
      <w:bookmarkStart w:id="108" w:name="_Toc434424898"/>
      <w:bookmarkStart w:id="109" w:name="_Toc434480178"/>
      <w:bookmarkStart w:id="110" w:name="_Toc434480237"/>
      <w:bookmarkStart w:id="111" w:name="_Toc434480275"/>
      <w:bookmarkStart w:id="112" w:name="_Toc434481805"/>
      <w:bookmarkStart w:id="113" w:name="_Toc434483112"/>
      <w:bookmarkStart w:id="114" w:name="_Toc434483989"/>
      <w:bookmarkStart w:id="115" w:name="_Toc434484420"/>
      <w:bookmarkStart w:id="116" w:name="_Toc434485665"/>
      <w:bookmarkStart w:id="117" w:name="_Toc434486919"/>
      <w:bookmarkStart w:id="118" w:name="_Toc434487197"/>
      <w:bookmarkStart w:id="119" w:name="_Toc434393313"/>
      <w:bookmarkStart w:id="120" w:name="_Toc434393352"/>
      <w:bookmarkStart w:id="121" w:name="_Toc434394763"/>
      <w:bookmarkStart w:id="122" w:name="_Toc434396926"/>
      <w:bookmarkStart w:id="123" w:name="_Toc434397013"/>
      <w:bookmarkStart w:id="124" w:name="_Toc434408242"/>
      <w:bookmarkStart w:id="125" w:name="_Toc434410149"/>
      <w:bookmarkStart w:id="126" w:name="_Toc434410189"/>
      <w:bookmarkStart w:id="127" w:name="_Toc434424167"/>
      <w:bookmarkStart w:id="128" w:name="_Toc434424206"/>
      <w:bookmarkStart w:id="129" w:name="_Toc434424366"/>
      <w:bookmarkStart w:id="130" w:name="_Toc434424405"/>
      <w:bookmarkStart w:id="131" w:name="_Toc434424442"/>
      <w:bookmarkStart w:id="132" w:name="_Toc434424481"/>
      <w:bookmarkStart w:id="133" w:name="_Toc434424520"/>
      <w:bookmarkStart w:id="134" w:name="_Toc434424559"/>
      <w:bookmarkStart w:id="135" w:name="_Toc434424596"/>
      <w:bookmarkStart w:id="136" w:name="_Toc434424633"/>
      <w:bookmarkStart w:id="137" w:name="_Toc434424672"/>
      <w:bookmarkStart w:id="138" w:name="_Toc434424711"/>
      <w:bookmarkStart w:id="139" w:name="_Toc434424752"/>
      <w:bookmarkStart w:id="140" w:name="_Toc434424789"/>
      <w:bookmarkStart w:id="141" w:name="_Toc434424826"/>
      <w:bookmarkStart w:id="142" w:name="_Toc434424863"/>
      <w:bookmarkStart w:id="143" w:name="_Toc434424900"/>
      <w:bookmarkStart w:id="144" w:name="_Toc434480180"/>
      <w:bookmarkStart w:id="145" w:name="_Toc434480239"/>
      <w:bookmarkStart w:id="146" w:name="_Toc434480277"/>
      <w:bookmarkStart w:id="147" w:name="_Toc434481807"/>
      <w:bookmarkStart w:id="148" w:name="_Toc434483114"/>
      <w:bookmarkStart w:id="149" w:name="_Toc434483991"/>
      <w:bookmarkStart w:id="150" w:name="_Toc434484422"/>
      <w:bookmarkStart w:id="151" w:name="_Toc434485667"/>
      <w:bookmarkStart w:id="152" w:name="_Toc434486921"/>
      <w:bookmarkStart w:id="153" w:name="_Toc434487199"/>
      <w:bookmarkStart w:id="154" w:name="_Toc433815878"/>
      <w:bookmarkStart w:id="155" w:name="_Toc433815963"/>
      <w:bookmarkStart w:id="156" w:name="_Toc433816015"/>
      <w:bookmarkStart w:id="157" w:name="_Toc433816041"/>
      <w:bookmarkStart w:id="158" w:name="_Toc433816067"/>
      <w:bookmarkStart w:id="159" w:name="_Toc433816119"/>
      <w:bookmarkStart w:id="160" w:name="_Toc433816145"/>
      <w:bookmarkStart w:id="161" w:name="_Toc433816171"/>
      <w:bookmarkStart w:id="162" w:name="_Toc433816726"/>
      <w:bookmarkStart w:id="163" w:name="_Toc433816809"/>
      <w:bookmarkStart w:id="164" w:name="_Toc433899813"/>
      <w:bookmarkStart w:id="165" w:name="_Toc433815879"/>
      <w:bookmarkStart w:id="166" w:name="_Toc433815964"/>
      <w:bookmarkStart w:id="167" w:name="_Toc433816016"/>
      <w:bookmarkStart w:id="168" w:name="_Toc433816042"/>
      <w:bookmarkStart w:id="169" w:name="_Toc433816068"/>
      <w:bookmarkStart w:id="170" w:name="_Toc433816120"/>
      <w:bookmarkStart w:id="171" w:name="_Toc433816146"/>
      <w:bookmarkStart w:id="172" w:name="_Toc433816172"/>
      <w:bookmarkStart w:id="173" w:name="_Toc433816727"/>
      <w:bookmarkStart w:id="174" w:name="_Toc433816810"/>
      <w:bookmarkStart w:id="175" w:name="_Toc433899814"/>
      <w:bookmarkStart w:id="176" w:name="_Toc433815880"/>
      <w:bookmarkStart w:id="177" w:name="_Toc433815965"/>
      <w:bookmarkStart w:id="178" w:name="_Toc433816017"/>
      <w:bookmarkStart w:id="179" w:name="_Toc433816043"/>
      <w:bookmarkStart w:id="180" w:name="_Toc433816069"/>
      <w:bookmarkStart w:id="181" w:name="_Toc433816121"/>
      <w:bookmarkStart w:id="182" w:name="_Toc433816147"/>
      <w:bookmarkStart w:id="183" w:name="_Toc433816173"/>
      <w:bookmarkStart w:id="184" w:name="_Toc433816728"/>
      <w:bookmarkStart w:id="185" w:name="_Toc433816811"/>
      <w:bookmarkStart w:id="186" w:name="_Toc433899815"/>
      <w:bookmarkStart w:id="187" w:name="_Toc433815881"/>
      <w:bookmarkStart w:id="188" w:name="_Toc433815966"/>
      <w:bookmarkStart w:id="189" w:name="_Toc433816018"/>
      <w:bookmarkStart w:id="190" w:name="_Toc433816044"/>
      <w:bookmarkStart w:id="191" w:name="_Toc433816070"/>
      <w:bookmarkStart w:id="192" w:name="_Toc433816122"/>
      <w:bookmarkStart w:id="193" w:name="_Toc433816148"/>
      <w:bookmarkStart w:id="194" w:name="_Toc433816174"/>
      <w:bookmarkStart w:id="195" w:name="_Toc433816729"/>
      <w:bookmarkStart w:id="196" w:name="_Toc433816812"/>
      <w:bookmarkStart w:id="197" w:name="_Toc433899816"/>
      <w:bookmarkStart w:id="198" w:name="_Toc433815882"/>
      <w:bookmarkStart w:id="199" w:name="_Toc433815967"/>
      <w:bookmarkStart w:id="200" w:name="_Toc433816019"/>
      <w:bookmarkStart w:id="201" w:name="_Toc433816045"/>
      <w:bookmarkStart w:id="202" w:name="_Toc433816071"/>
      <w:bookmarkStart w:id="203" w:name="_Toc433816123"/>
      <w:bookmarkStart w:id="204" w:name="_Toc433816149"/>
      <w:bookmarkStart w:id="205" w:name="_Toc433816175"/>
      <w:bookmarkStart w:id="206" w:name="_Toc433816730"/>
      <w:bookmarkStart w:id="207" w:name="_Toc433816813"/>
      <w:bookmarkStart w:id="208" w:name="_Toc433899817"/>
      <w:bookmarkStart w:id="209" w:name="_Toc436215235"/>
      <w:bookmarkStart w:id="210" w:name="_Toc454459656"/>
      <w:bookmarkStart w:id="211" w:name="_Toc484506918"/>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417097">
        <w:rPr>
          <w:rFonts w:asciiTheme="minorHAnsi" w:hAnsiTheme="minorHAnsi" w:cstheme="minorHAnsi"/>
          <w:i w:val="0"/>
          <w:caps/>
        </w:rPr>
        <w:lastRenderedPageBreak/>
        <w:t>Performance Objective</w:t>
      </w:r>
      <w:bookmarkEnd w:id="209"/>
      <w:bookmarkEnd w:id="210"/>
      <w:bookmarkEnd w:id="211"/>
      <w:r w:rsidRPr="00417097">
        <w:rPr>
          <w:rFonts w:asciiTheme="minorHAnsi" w:hAnsiTheme="minorHAnsi" w:cstheme="minorHAnsi"/>
          <w:i w:val="0"/>
          <w:caps/>
        </w:rPr>
        <w:t xml:space="preserve"> </w:t>
      </w:r>
    </w:p>
    <w:p w14:paraId="4033D3EE" w14:textId="77777777" w:rsidR="00055E3A" w:rsidRPr="00417097" w:rsidRDefault="00055E3A" w:rsidP="00055E3A">
      <w:pPr>
        <w:tabs>
          <w:tab w:val="left" w:pos="0"/>
        </w:tabs>
        <w:spacing w:line="276" w:lineRule="auto"/>
        <w:rPr>
          <w:rFonts w:asciiTheme="minorHAnsi" w:hAnsiTheme="minorHAnsi" w:cstheme="minorHAnsi"/>
          <w:sz w:val="20"/>
          <w:szCs w:val="20"/>
          <w:lang w:val="en-CA"/>
        </w:rPr>
      </w:pPr>
      <w:r w:rsidRPr="00417097">
        <w:rPr>
          <w:rFonts w:asciiTheme="minorHAnsi" w:hAnsiTheme="minorHAnsi" w:cstheme="minorHAnsi"/>
          <w:sz w:val="20"/>
          <w:szCs w:val="20"/>
          <w:lang w:val="en-CA"/>
        </w:rPr>
        <w:t xml:space="preserve">The performance objective varies according to each member and depends on the member’s stage in the life cycle. The investment fund performance, the expected rate of return of each fund, the reference index and its performance as well as the risk associated with the investment options is always available on the Investment Provider’s website. Investment fund performance information will also be sent to members on an annual basis. </w:t>
      </w:r>
    </w:p>
    <w:p w14:paraId="1F561A38" w14:textId="77777777" w:rsidR="00055E3A" w:rsidRPr="00417097" w:rsidRDefault="00055E3A" w:rsidP="00055E3A">
      <w:pPr>
        <w:tabs>
          <w:tab w:val="left" w:pos="0"/>
        </w:tabs>
        <w:spacing w:line="276" w:lineRule="auto"/>
        <w:rPr>
          <w:rFonts w:asciiTheme="minorHAnsi" w:hAnsiTheme="minorHAnsi" w:cstheme="minorHAnsi"/>
          <w:sz w:val="20"/>
          <w:szCs w:val="20"/>
          <w:lang w:val="en-CA"/>
        </w:rPr>
      </w:pPr>
    </w:p>
    <w:p w14:paraId="45389821" w14:textId="77777777" w:rsidR="00055E3A" w:rsidRPr="00417097" w:rsidRDefault="00055E3A" w:rsidP="00055E3A">
      <w:pPr>
        <w:tabs>
          <w:tab w:val="left" w:pos="0"/>
        </w:tabs>
        <w:spacing w:line="276" w:lineRule="auto"/>
        <w:rPr>
          <w:rFonts w:asciiTheme="minorHAnsi" w:hAnsiTheme="minorHAnsi" w:cstheme="minorHAnsi"/>
          <w:sz w:val="20"/>
          <w:szCs w:val="20"/>
          <w:lang w:val="en-CA"/>
        </w:rPr>
      </w:pPr>
      <w:r w:rsidRPr="00417097">
        <w:rPr>
          <w:rFonts w:asciiTheme="minorHAnsi" w:hAnsiTheme="minorHAnsi" w:cstheme="minorHAnsi"/>
          <w:sz w:val="20"/>
          <w:szCs w:val="20"/>
          <w:lang w:val="en-CA"/>
        </w:rPr>
        <w:t>The return on investment funds is linked to financial market performance and is therefore not guaranteed. Furthermore, an investment fund’s past performance is not an indicator of its future performance. Money invested in guaranteed investments grows at a guaranteed fixed interest rate for a determined term. If a withdrawal be made before the end of the term, a market value adjustment may be applied. At the end of the term, unless the member provides instructions to the contrary, the money is re-invested in a guaranteed investment with the same term.</w:t>
      </w:r>
    </w:p>
    <w:p w14:paraId="27311643" w14:textId="77777777" w:rsidR="00055E3A" w:rsidRPr="00417097" w:rsidRDefault="00055E3A" w:rsidP="00055E3A">
      <w:pPr>
        <w:pStyle w:val="Heading1"/>
        <w:rPr>
          <w:rFonts w:asciiTheme="minorHAnsi" w:hAnsiTheme="minorHAnsi" w:cstheme="minorHAnsi"/>
          <w:i w:val="0"/>
          <w:caps/>
        </w:rPr>
      </w:pPr>
      <w:bookmarkStart w:id="212" w:name="_Toc454459657"/>
      <w:bookmarkStart w:id="213" w:name="_Toc484506919"/>
      <w:r w:rsidRPr="00417097">
        <w:rPr>
          <w:rFonts w:asciiTheme="minorHAnsi" w:hAnsiTheme="minorHAnsi" w:cstheme="minorHAnsi"/>
          <w:i w:val="0"/>
          <w:caps/>
        </w:rPr>
        <w:t>Monitoring of Plan Investment Options</w:t>
      </w:r>
      <w:bookmarkEnd w:id="82"/>
      <w:bookmarkEnd w:id="212"/>
      <w:bookmarkEnd w:id="213"/>
    </w:p>
    <w:p w14:paraId="212FCDE0" w14:textId="77777777" w:rsidR="00055E3A" w:rsidRPr="00417097" w:rsidRDefault="00055E3A" w:rsidP="00055E3A">
      <w:pPr>
        <w:tabs>
          <w:tab w:val="left" w:pos="0"/>
        </w:tabs>
        <w:spacing w:line="276" w:lineRule="auto"/>
        <w:rPr>
          <w:rFonts w:asciiTheme="minorHAnsi" w:hAnsiTheme="minorHAnsi" w:cstheme="minorHAnsi"/>
          <w:sz w:val="20"/>
          <w:szCs w:val="20"/>
          <w:lang w:val="en-CA"/>
        </w:rPr>
      </w:pPr>
      <w:r w:rsidRPr="00417097">
        <w:rPr>
          <w:rFonts w:asciiTheme="minorHAnsi" w:hAnsiTheme="minorHAnsi" w:cstheme="minorHAnsi"/>
          <w:sz w:val="20"/>
          <w:szCs w:val="20"/>
          <w:lang w:val="en-CA"/>
        </w:rPr>
        <w:t>The Plan Sponsor will review the Plan investment options at least annually. The criteria used to evaluate each investment option will primarily derive from the criteria used to select each investment option, as outlined above.</w:t>
      </w:r>
    </w:p>
    <w:p w14:paraId="41F9D36E" w14:textId="77777777" w:rsidR="00055E3A" w:rsidRPr="00417097" w:rsidRDefault="00055E3A" w:rsidP="00055E3A">
      <w:pPr>
        <w:tabs>
          <w:tab w:val="left" w:pos="0"/>
        </w:tabs>
        <w:spacing w:line="276" w:lineRule="auto"/>
        <w:rPr>
          <w:rFonts w:asciiTheme="minorHAnsi" w:hAnsiTheme="minorHAnsi" w:cstheme="minorHAnsi"/>
          <w:sz w:val="20"/>
          <w:szCs w:val="20"/>
          <w:lang w:val="en-CA"/>
        </w:rPr>
      </w:pPr>
    </w:p>
    <w:p w14:paraId="283100A0" w14:textId="2763DEB8" w:rsidR="00055E3A" w:rsidRPr="00417097" w:rsidRDefault="00055E3A" w:rsidP="00055E3A">
      <w:pPr>
        <w:tabs>
          <w:tab w:val="left" w:pos="0"/>
        </w:tabs>
        <w:spacing w:line="276" w:lineRule="auto"/>
        <w:rPr>
          <w:rFonts w:asciiTheme="minorHAnsi" w:hAnsiTheme="minorHAnsi" w:cstheme="minorHAnsi"/>
          <w:sz w:val="20"/>
          <w:szCs w:val="20"/>
          <w:lang w:val="en-CA"/>
        </w:rPr>
      </w:pPr>
      <w:r w:rsidRPr="00417097">
        <w:rPr>
          <w:rFonts w:asciiTheme="minorHAnsi" w:hAnsiTheme="minorHAnsi" w:cstheme="minorHAnsi"/>
          <w:sz w:val="20"/>
          <w:szCs w:val="20"/>
          <w:lang w:val="en-CA"/>
        </w:rPr>
        <w:t>The Plan Sponsor will have access to monthly and quarterly investment performance reporting via the Service Provider</w:t>
      </w:r>
      <w:r w:rsidR="00F055A9">
        <w:rPr>
          <w:rFonts w:asciiTheme="minorHAnsi" w:hAnsiTheme="minorHAnsi" w:cstheme="minorHAnsi"/>
          <w:sz w:val="20"/>
          <w:szCs w:val="20"/>
          <w:lang w:val="en-CA"/>
        </w:rPr>
        <w:t xml:space="preserve">’s </w:t>
      </w:r>
      <w:r w:rsidRPr="00417097">
        <w:rPr>
          <w:rFonts w:asciiTheme="minorHAnsi" w:hAnsiTheme="minorHAnsi" w:cstheme="minorHAnsi"/>
          <w:sz w:val="20"/>
          <w:szCs w:val="20"/>
          <w:lang w:val="en-CA"/>
        </w:rPr>
        <w:t>website. Each Segregated Fund offered under the Plan is expected to achieve a rate of return comparable to the Underlying Fund and that is at least equal to the return of the comparable benchmark or market index return over a four-year period plus an added value for active management, if applicable.</w:t>
      </w:r>
    </w:p>
    <w:p w14:paraId="7AF1AF8C" w14:textId="77777777" w:rsidR="00055E3A" w:rsidRPr="00417097" w:rsidRDefault="00055E3A" w:rsidP="00055E3A">
      <w:pPr>
        <w:tabs>
          <w:tab w:val="left" w:pos="0"/>
        </w:tabs>
        <w:spacing w:line="276" w:lineRule="auto"/>
        <w:rPr>
          <w:rFonts w:asciiTheme="minorHAnsi" w:hAnsiTheme="minorHAnsi" w:cstheme="minorHAnsi"/>
          <w:sz w:val="20"/>
          <w:szCs w:val="20"/>
          <w:lang w:val="en-CA"/>
        </w:rPr>
      </w:pPr>
    </w:p>
    <w:p w14:paraId="24E87B42" w14:textId="77777777" w:rsidR="00055E3A" w:rsidRPr="00417097" w:rsidRDefault="00055E3A" w:rsidP="00055E3A">
      <w:pPr>
        <w:tabs>
          <w:tab w:val="left" w:pos="0"/>
        </w:tabs>
        <w:spacing w:line="276" w:lineRule="auto"/>
        <w:rPr>
          <w:rFonts w:asciiTheme="minorHAnsi" w:hAnsiTheme="minorHAnsi" w:cstheme="minorHAnsi"/>
          <w:sz w:val="20"/>
          <w:szCs w:val="20"/>
          <w:lang w:val="en-CA"/>
        </w:rPr>
      </w:pPr>
      <w:r w:rsidRPr="00417097">
        <w:rPr>
          <w:rFonts w:asciiTheme="minorHAnsi" w:hAnsiTheme="minorHAnsi" w:cstheme="minorHAnsi"/>
          <w:sz w:val="20"/>
          <w:szCs w:val="20"/>
          <w:lang w:val="en-CA"/>
        </w:rPr>
        <w:t xml:space="preserve">The investment rate of return of a Segregated Fund that invests wholly in units of an Underlying Fund will be similar to that of the corresponding Underlying Fund, within a small variance for administrative practices and Segregated Fund operating expenses. In assessing the investment performance, the Plan Sponsor will consider that administrative practices regarding the flow of funds between the Segregated Fund and the Underlying Fund may cause the investment rate of return of the Segregated Fund to be higher or lower than that of the Underlying Fund. </w:t>
      </w:r>
    </w:p>
    <w:p w14:paraId="05CD4DF3" w14:textId="77777777" w:rsidR="00055E3A" w:rsidRPr="00417097" w:rsidRDefault="00055E3A" w:rsidP="00055E3A">
      <w:pPr>
        <w:tabs>
          <w:tab w:val="left" w:pos="0"/>
        </w:tabs>
        <w:spacing w:line="276" w:lineRule="auto"/>
        <w:rPr>
          <w:rFonts w:asciiTheme="minorHAnsi" w:hAnsiTheme="minorHAnsi" w:cstheme="minorHAnsi"/>
          <w:sz w:val="20"/>
          <w:szCs w:val="20"/>
          <w:lang w:val="en-CA"/>
        </w:rPr>
      </w:pPr>
    </w:p>
    <w:p w14:paraId="303414E2" w14:textId="77777777" w:rsidR="00055E3A" w:rsidRPr="00417097" w:rsidRDefault="00055E3A" w:rsidP="00055E3A">
      <w:pPr>
        <w:tabs>
          <w:tab w:val="left" w:pos="0"/>
        </w:tabs>
        <w:spacing w:line="276" w:lineRule="auto"/>
        <w:rPr>
          <w:rFonts w:asciiTheme="minorHAnsi" w:hAnsiTheme="minorHAnsi" w:cstheme="minorHAnsi"/>
          <w:sz w:val="20"/>
          <w:szCs w:val="20"/>
          <w:lang w:val="en-CA"/>
        </w:rPr>
      </w:pPr>
      <w:r w:rsidRPr="00417097">
        <w:rPr>
          <w:rFonts w:asciiTheme="minorHAnsi" w:hAnsiTheme="minorHAnsi" w:cstheme="minorHAnsi"/>
          <w:sz w:val="20"/>
          <w:szCs w:val="20"/>
          <w:lang w:val="en-CA"/>
        </w:rPr>
        <w:t>Where appropriate, the investment performance of the Underlying Fund will be measured by reference to other investment alternatives in the same or substantially similar investment asset class (i.e. peer group performance). The Plan Sponsor will review the interest rates provided under the Guaranteed Funds and/or GIC’s to ensure that they are competitive with those offered by financial institutions of similar investment quality as the Service Provider for similar terms.</w:t>
      </w:r>
    </w:p>
    <w:p w14:paraId="5911DF04" w14:textId="77777777" w:rsidR="00055E3A" w:rsidRPr="00417097" w:rsidRDefault="00055E3A" w:rsidP="00055E3A">
      <w:pPr>
        <w:tabs>
          <w:tab w:val="left" w:pos="0"/>
        </w:tabs>
        <w:spacing w:line="276" w:lineRule="auto"/>
        <w:rPr>
          <w:rFonts w:asciiTheme="minorHAnsi" w:hAnsiTheme="minorHAnsi" w:cstheme="minorHAnsi"/>
          <w:sz w:val="20"/>
          <w:szCs w:val="20"/>
          <w:lang w:val="en-CA"/>
        </w:rPr>
      </w:pPr>
    </w:p>
    <w:p w14:paraId="1DA59025" w14:textId="77777777" w:rsidR="00055E3A" w:rsidRPr="00417097" w:rsidRDefault="00055E3A" w:rsidP="00055E3A">
      <w:pPr>
        <w:tabs>
          <w:tab w:val="left" w:pos="0"/>
        </w:tabs>
        <w:spacing w:line="276" w:lineRule="auto"/>
        <w:rPr>
          <w:rFonts w:asciiTheme="minorHAnsi" w:hAnsiTheme="minorHAnsi" w:cstheme="minorHAnsi"/>
          <w:sz w:val="20"/>
          <w:szCs w:val="20"/>
          <w:lang w:val="en-CA"/>
        </w:rPr>
      </w:pPr>
      <w:r w:rsidRPr="00417097">
        <w:rPr>
          <w:rFonts w:asciiTheme="minorHAnsi" w:hAnsiTheme="minorHAnsi" w:cstheme="minorHAnsi"/>
          <w:sz w:val="20"/>
          <w:szCs w:val="20"/>
          <w:lang w:val="en-CA"/>
        </w:rPr>
        <w:t xml:space="preserve">The Plan Sponsor will determine an appropriate course of action if the performance objectives are not met during the period under review.  The course of action may vary depending on the reason for the underperformance, as well as the duration and significance of the underperformance, and may range from maintaining the status quo to removing the investment option. </w:t>
      </w:r>
    </w:p>
    <w:p w14:paraId="7397A04C" w14:textId="77777777" w:rsidR="00055E3A" w:rsidRPr="00417097" w:rsidRDefault="00055E3A" w:rsidP="00055E3A">
      <w:pPr>
        <w:rPr>
          <w:rFonts w:asciiTheme="minorHAnsi" w:hAnsiTheme="minorHAnsi" w:cstheme="minorHAnsi"/>
          <w:sz w:val="20"/>
          <w:szCs w:val="20"/>
        </w:rPr>
      </w:pPr>
    </w:p>
    <w:p w14:paraId="1AED810B" w14:textId="77777777" w:rsidR="00055E3A" w:rsidRPr="00417097" w:rsidRDefault="00055E3A" w:rsidP="00055E3A">
      <w:pPr>
        <w:jc w:val="left"/>
        <w:rPr>
          <w:rFonts w:asciiTheme="minorHAnsi" w:hAnsiTheme="minorHAnsi" w:cstheme="minorHAnsi"/>
          <w:b/>
          <w:caps/>
          <w:kern w:val="28"/>
          <w:sz w:val="28"/>
        </w:rPr>
      </w:pPr>
      <w:bookmarkStart w:id="214" w:name="_Toc172010549"/>
      <w:bookmarkStart w:id="215" w:name="_Toc172012302"/>
      <w:bookmarkStart w:id="216" w:name="_Toc172012333"/>
      <w:bookmarkStart w:id="217" w:name="_Toc436057472"/>
      <w:bookmarkStart w:id="218" w:name="_Toc454459658"/>
      <w:r w:rsidRPr="00417097">
        <w:rPr>
          <w:rFonts w:asciiTheme="minorHAnsi" w:hAnsiTheme="minorHAnsi" w:cstheme="minorHAnsi"/>
          <w:i/>
          <w:caps/>
        </w:rPr>
        <w:br w:type="page"/>
      </w:r>
    </w:p>
    <w:p w14:paraId="247C392C" w14:textId="77777777" w:rsidR="00055E3A" w:rsidRPr="00417097" w:rsidRDefault="00055E3A" w:rsidP="00055E3A">
      <w:pPr>
        <w:pStyle w:val="Heading1"/>
        <w:rPr>
          <w:rFonts w:asciiTheme="minorHAnsi" w:hAnsiTheme="minorHAnsi" w:cstheme="minorHAnsi"/>
          <w:i w:val="0"/>
          <w:caps/>
        </w:rPr>
      </w:pPr>
      <w:bookmarkStart w:id="219" w:name="_Toc484506920"/>
      <w:r w:rsidRPr="00417097">
        <w:rPr>
          <w:rFonts w:asciiTheme="minorHAnsi" w:hAnsiTheme="minorHAnsi" w:cstheme="minorHAnsi"/>
          <w:i w:val="0"/>
          <w:caps/>
        </w:rPr>
        <w:lastRenderedPageBreak/>
        <w:t>Removal of a Plan Investment Option</w:t>
      </w:r>
      <w:bookmarkEnd w:id="214"/>
      <w:bookmarkEnd w:id="215"/>
      <w:bookmarkEnd w:id="216"/>
      <w:bookmarkEnd w:id="217"/>
      <w:bookmarkEnd w:id="218"/>
      <w:bookmarkEnd w:id="219"/>
    </w:p>
    <w:p w14:paraId="4CAA0CF9" w14:textId="77777777" w:rsidR="00055E3A" w:rsidRPr="00417097" w:rsidRDefault="00055E3A" w:rsidP="00055E3A">
      <w:pPr>
        <w:pStyle w:val="BodyText"/>
        <w:spacing w:line="276" w:lineRule="auto"/>
        <w:jc w:val="both"/>
        <w:rPr>
          <w:rFonts w:asciiTheme="minorHAnsi" w:hAnsiTheme="minorHAnsi" w:cstheme="minorHAnsi"/>
          <w:sz w:val="20"/>
          <w:szCs w:val="20"/>
        </w:rPr>
      </w:pPr>
      <w:r w:rsidRPr="00417097">
        <w:rPr>
          <w:rFonts w:asciiTheme="minorHAnsi" w:hAnsiTheme="minorHAnsi" w:cstheme="minorHAnsi"/>
          <w:b w:val="0"/>
          <w:sz w:val="20"/>
          <w:szCs w:val="20"/>
        </w:rPr>
        <w:t>Reasons for considering the removal of a Plan investment option include, but are not limited to, the following factors:</w:t>
      </w:r>
    </w:p>
    <w:p w14:paraId="32C08AF1" w14:textId="77777777" w:rsidR="00055E3A" w:rsidRPr="00417097" w:rsidRDefault="00055E3A" w:rsidP="00055E3A">
      <w:pPr>
        <w:pStyle w:val="ListParagraph"/>
        <w:numPr>
          <w:ilvl w:val="0"/>
          <w:numId w:val="3"/>
        </w:numPr>
        <w:tabs>
          <w:tab w:val="left" w:pos="-720"/>
        </w:tabs>
        <w:suppressAutoHyphens/>
        <w:spacing w:line="276" w:lineRule="auto"/>
        <w:rPr>
          <w:rFonts w:asciiTheme="minorHAnsi" w:hAnsiTheme="minorHAnsi" w:cstheme="minorHAnsi"/>
          <w:sz w:val="20"/>
          <w:szCs w:val="20"/>
        </w:rPr>
      </w:pPr>
      <w:r w:rsidRPr="00417097">
        <w:rPr>
          <w:rFonts w:asciiTheme="minorHAnsi" w:hAnsiTheme="minorHAnsi" w:cstheme="minorHAnsi"/>
          <w:sz w:val="20"/>
          <w:szCs w:val="20"/>
        </w:rPr>
        <w:t>Lack of acceptance or sharp decline in use by Plan members;</w:t>
      </w:r>
    </w:p>
    <w:p w14:paraId="1F9F1B44" w14:textId="77777777" w:rsidR="00055E3A" w:rsidRPr="00417097" w:rsidRDefault="00055E3A" w:rsidP="00055E3A">
      <w:pPr>
        <w:pStyle w:val="ListParagraph"/>
        <w:numPr>
          <w:ilvl w:val="0"/>
          <w:numId w:val="3"/>
        </w:numPr>
        <w:tabs>
          <w:tab w:val="left" w:pos="-720"/>
        </w:tabs>
        <w:suppressAutoHyphens/>
        <w:spacing w:line="276" w:lineRule="auto"/>
        <w:rPr>
          <w:rFonts w:asciiTheme="minorHAnsi" w:hAnsiTheme="minorHAnsi" w:cstheme="minorHAnsi"/>
          <w:sz w:val="20"/>
          <w:szCs w:val="20"/>
        </w:rPr>
      </w:pPr>
      <w:r w:rsidRPr="00417097">
        <w:rPr>
          <w:rFonts w:asciiTheme="minorHAnsi" w:hAnsiTheme="minorHAnsi" w:cstheme="minorHAnsi"/>
          <w:sz w:val="20"/>
          <w:szCs w:val="20"/>
        </w:rPr>
        <w:t>Complaints received from members that are deemed by the Plan Sponsor to be legitimate.</w:t>
      </w:r>
    </w:p>
    <w:p w14:paraId="35E5BFC5" w14:textId="77777777" w:rsidR="00055E3A" w:rsidRPr="00417097" w:rsidRDefault="00055E3A" w:rsidP="00055E3A">
      <w:pPr>
        <w:pStyle w:val="ListParagraph"/>
        <w:numPr>
          <w:ilvl w:val="0"/>
          <w:numId w:val="3"/>
        </w:numPr>
        <w:tabs>
          <w:tab w:val="left" w:pos="-720"/>
        </w:tabs>
        <w:suppressAutoHyphens/>
        <w:spacing w:line="276" w:lineRule="auto"/>
        <w:rPr>
          <w:rFonts w:asciiTheme="minorHAnsi" w:hAnsiTheme="minorHAnsi" w:cstheme="minorHAnsi"/>
          <w:sz w:val="20"/>
          <w:szCs w:val="20"/>
        </w:rPr>
      </w:pPr>
      <w:r w:rsidRPr="00417097">
        <w:rPr>
          <w:rFonts w:asciiTheme="minorHAnsi" w:hAnsiTheme="minorHAnsi" w:cstheme="minorHAnsi"/>
          <w:sz w:val="20"/>
          <w:szCs w:val="20"/>
        </w:rPr>
        <w:t>Investment performance;</w:t>
      </w:r>
    </w:p>
    <w:p w14:paraId="49FAA7A8" w14:textId="77777777" w:rsidR="00055E3A" w:rsidRPr="00417097" w:rsidRDefault="00055E3A" w:rsidP="00055E3A">
      <w:pPr>
        <w:pStyle w:val="ListParagraph"/>
        <w:numPr>
          <w:ilvl w:val="0"/>
          <w:numId w:val="3"/>
        </w:numPr>
        <w:tabs>
          <w:tab w:val="left" w:pos="-720"/>
        </w:tabs>
        <w:suppressAutoHyphens/>
        <w:spacing w:line="276" w:lineRule="auto"/>
        <w:rPr>
          <w:rFonts w:asciiTheme="minorHAnsi" w:hAnsiTheme="minorHAnsi" w:cstheme="minorHAnsi"/>
          <w:sz w:val="20"/>
          <w:szCs w:val="20"/>
        </w:rPr>
      </w:pPr>
      <w:r w:rsidRPr="00417097">
        <w:rPr>
          <w:rFonts w:asciiTheme="minorHAnsi" w:hAnsiTheme="minorHAnsi" w:cstheme="minorHAnsi"/>
          <w:sz w:val="20"/>
          <w:szCs w:val="20"/>
        </w:rPr>
        <w:t xml:space="preserve">Change in the Investment Manager’s personnel, firm structure, investment process, or investment philosophy which might adversely affect the potential return and/or risk level of the portfolio; </w:t>
      </w:r>
    </w:p>
    <w:p w14:paraId="2FFEAFA0" w14:textId="72CDCA5A" w:rsidR="00055E3A" w:rsidRPr="00417097" w:rsidRDefault="00055E3A" w:rsidP="00055E3A">
      <w:pPr>
        <w:pStyle w:val="ListParagraph"/>
        <w:numPr>
          <w:ilvl w:val="0"/>
          <w:numId w:val="3"/>
        </w:numPr>
        <w:tabs>
          <w:tab w:val="left" w:pos="-720"/>
        </w:tabs>
        <w:suppressAutoHyphens/>
        <w:spacing w:line="276" w:lineRule="auto"/>
        <w:rPr>
          <w:rFonts w:asciiTheme="minorHAnsi" w:hAnsiTheme="minorHAnsi" w:cstheme="minorHAnsi"/>
          <w:sz w:val="20"/>
          <w:szCs w:val="20"/>
        </w:rPr>
      </w:pPr>
      <w:r w:rsidRPr="00417097">
        <w:rPr>
          <w:rFonts w:asciiTheme="minorHAnsi" w:hAnsiTheme="minorHAnsi" w:cstheme="minorHAnsi"/>
          <w:sz w:val="20"/>
          <w:szCs w:val="20"/>
        </w:rPr>
        <w:t>Failure by the Investment Manager to comply with the Underlying Fund Documents, the SIP</w:t>
      </w:r>
      <w:r w:rsidR="00E33364">
        <w:rPr>
          <w:rFonts w:asciiTheme="minorHAnsi" w:hAnsiTheme="minorHAnsi" w:cstheme="minorHAnsi"/>
          <w:sz w:val="20"/>
          <w:szCs w:val="20"/>
        </w:rPr>
        <w:t>P</w:t>
      </w:r>
      <w:r w:rsidRPr="00417097">
        <w:rPr>
          <w:rFonts w:asciiTheme="minorHAnsi" w:hAnsiTheme="minorHAnsi" w:cstheme="minorHAnsi"/>
          <w:sz w:val="20"/>
          <w:szCs w:val="20"/>
        </w:rPr>
        <w:t>, and regulatory requirements during the compliance period under review;</w:t>
      </w:r>
    </w:p>
    <w:p w14:paraId="58A44D90" w14:textId="34105D08" w:rsidR="00055E3A" w:rsidRPr="00417097" w:rsidRDefault="00055E3A" w:rsidP="00055E3A">
      <w:pPr>
        <w:pStyle w:val="ListParagraph"/>
        <w:numPr>
          <w:ilvl w:val="0"/>
          <w:numId w:val="3"/>
        </w:numPr>
        <w:tabs>
          <w:tab w:val="left" w:pos="-720"/>
        </w:tabs>
        <w:suppressAutoHyphens/>
        <w:spacing w:line="276" w:lineRule="auto"/>
        <w:rPr>
          <w:rFonts w:asciiTheme="minorHAnsi" w:hAnsiTheme="minorHAnsi" w:cstheme="minorHAnsi"/>
          <w:sz w:val="20"/>
          <w:szCs w:val="20"/>
        </w:rPr>
      </w:pPr>
      <w:r w:rsidRPr="00417097">
        <w:rPr>
          <w:rFonts w:asciiTheme="minorHAnsi" w:hAnsiTheme="minorHAnsi" w:cstheme="minorHAnsi"/>
          <w:sz w:val="20"/>
          <w:szCs w:val="20"/>
        </w:rPr>
        <w:t>Inconsistency with this SIPP, such that the terms of this SIPP do not align with the Underlying Fund Documents or the SIP</w:t>
      </w:r>
      <w:r w:rsidR="00E33364">
        <w:rPr>
          <w:rFonts w:asciiTheme="minorHAnsi" w:hAnsiTheme="minorHAnsi" w:cstheme="minorHAnsi"/>
          <w:sz w:val="20"/>
          <w:szCs w:val="20"/>
        </w:rPr>
        <w:t>P</w:t>
      </w:r>
      <w:r w:rsidRPr="00417097">
        <w:rPr>
          <w:rFonts w:asciiTheme="minorHAnsi" w:hAnsiTheme="minorHAnsi" w:cstheme="minorHAnsi"/>
          <w:sz w:val="20"/>
          <w:szCs w:val="20"/>
        </w:rPr>
        <w:t xml:space="preserve">, in which case the Plan Sponsor will either modify the SIPP or remove the investment option; or </w:t>
      </w:r>
    </w:p>
    <w:p w14:paraId="32406F3F" w14:textId="77777777" w:rsidR="00055E3A" w:rsidRPr="00417097" w:rsidRDefault="00055E3A" w:rsidP="00055E3A">
      <w:pPr>
        <w:pStyle w:val="ListParagraph"/>
        <w:numPr>
          <w:ilvl w:val="0"/>
          <w:numId w:val="3"/>
        </w:numPr>
        <w:tabs>
          <w:tab w:val="left" w:pos="-720"/>
        </w:tabs>
        <w:suppressAutoHyphens/>
        <w:spacing w:line="276" w:lineRule="auto"/>
        <w:rPr>
          <w:rFonts w:asciiTheme="minorHAnsi" w:hAnsiTheme="minorHAnsi" w:cstheme="minorHAnsi"/>
          <w:sz w:val="20"/>
          <w:szCs w:val="20"/>
        </w:rPr>
      </w:pPr>
      <w:r w:rsidRPr="00417097">
        <w:rPr>
          <w:rFonts w:asciiTheme="minorHAnsi" w:hAnsiTheme="minorHAnsi" w:cstheme="minorHAnsi"/>
          <w:sz w:val="20"/>
          <w:szCs w:val="20"/>
        </w:rPr>
        <w:t>Changes in the Income Tax Act and/or related laws that make continued use of the fund unsuitable.</w:t>
      </w:r>
    </w:p>
    <w:p w14:paraId="6CF886DF" w14:textId="77777777" w:rsidR="00055E3A" w:rsidRPr="00417097" w:rsidRDefault="00055E3A" w:rsidP="00055E3A">
      <w:pPr>
        <w:spacing w:line="276" w:lineRule="auto"/>
        <w:rPr>
          <w:rFonts w:asciiTheme="minorHAnsi" w:hAnsiTheme="minorHAnsi" w:cstheme="minorHAnsi"/>
          <w:sz w:val="20"/>
          <w:szCs w:val="20"/>
        </w:rPr>
      </w:pPr>
    </w:p>
    <w:p w14:paraId="155B01B1" w14:textId="77777777" w:rsidR="00055E3A" w:rsidRPr="00417097" w:rsidRDefault="00055E3A" w:rsidP="00055E3A">
      <w:pPr>
        <w:pStyle w:val="BodyText"/>
        <w:spacing w:line="276" w:lineRule="auto"/>
        <w:jc w:val="both"/>
        <w:rPr>
          <w:rFonts w:asciiTheme="minorHAnsi" w:hAnsiTheme="minorHAnsi" w:cstheme="minorHAnsi"/>
          <w:b w:val="0"/>
          <w:sz w:val="20"/>
          <w:szCs w:val="20"/>
        </w:rPr>
      </w:pPr>
      <w:r w:rsidRPr="00417097">
        <w:rPr>
          <w:rFonts w:asciiTheme="minorHAnsi" w:hAnsiTheme="minorHAnsi" w:cstheme="minorHAnsi"/>
          <w:b w:val="0"/>
          <w:sz w:val="20"/>
          <w:szCs w:val="20"/>
        </w:rPr>
        <w:t>In contemplating removal of a Plan investment option, the Plan Sponsor will consider the length of time that the situation of concern has existed, the impact on members of such removal (e.g. tax consequences), the diversification of remaining investment options, and the availability of suitable replacement investment options.</w:t>
      </w:r>
    </w:p>
    <w:p w14:paraId="5F5C8D55" w14:textId="77777777" w:rsidR="00055E3A" w:rsidRPr="00417097" w:rsidRDefault="00055E3A" w:rsidP="00055E3A">
      <w:pPr>
        <w:rPr>
          <w:rFonts w:asciiTheme="minorHAnsi" w:hAnsiTheme="minorHAnsi" w:cstheme="minorHAnsi"/>
          <w:sz w:val="20"/>
          <w:szCs w:val="20"/>
          <w:lang w:val="en-CA"/>
        </w:rPr>
      </w:pPr>
    </w:p>
    <w:p w14:paraId="7CA6F242" w14:textId="77777777" w:rsidR="00055E3A" w:rsidRPr="00417097" w:rsidRDefault="00055E3A" w:rsidP="00055E3A">
      <w:pPr>
        <w:rPr>
          <w:rFonts w:asciiTheme="minorHAnsi" w:hAnsiTheme="minorHAnsi" w:cstheme="minorHAnsi"/>
          <w:sz w:val="20"/>
          <w:szCs w:val="20"/>
          <w:lang w:val="en-CA"/>
        </w:rPr>
      </w:pPr>
    </w:p>
    <w:p w14:paraId="2BA8BBE6" w14:textId="77777777" w:rsidR="00055E3A" w:rsidRPr="00417097" w:rsidRDefault="00055E3A" w:rsidP="00055E3A">
      <w:pPr>
        <w:rPr>
          <w:rFonts w:asciiTheme="minorHAnsi" w:hAnsiTheme="minorHAnsi" w:cstheme="minorHAnsi"/>
          <w:sz w:val="20"/>
          <w:szCs w:val="20"/>
          <w:lang w:val="en-CA"/>
        </w:rPr>
      </w:pPr>
    </w:p>
    <w:p w14:paraId="033D2C04" w14:textId="77777777" w:rsidR="00055E3A" w:rsidRPr="00417097" w:rsidRDefault="00055E3A" w:rsidP="00055E3A">
      <w:pPr>
        <w:pStyle w:val="IATexteSection"/>
        <w:rPr>
          <w:rFonts w:asciiTheme="minorHAnsi" w:hAnsiTheme="minorHAnsi" w:cstheme="minorHAnsi"/>
          <w:sz w:val="20"/>
        </w:rPr>
      </w:pPr>
      <w:bookmarkStart w:id="220" w:name="_Toc478054420"/>
    </w:p>
    <w:bookmarkEnd w:id="220"/>
    <w:p w14:paraId="5CCE578A" w14:textId="77777777" w:rsidR="00055E3A" w:rsidRPr="00417097" w:rsidRDefault="00055E3A" w:rsidP="00055E3A">
      <w:pPr>
        <w:rPr>
          <w:rFonts w:asciiTheme="minorHAnsi" w:hAnsiTheme="minorHAnsi" w:cstheme="minorHAnsi"/>
          <w:b/>
          <w:caps/>
          <w:kern w:val="28"/>
          <w:sz w:val="20"/>
          <w:szCs w:val="20"/>
        </w:rPr>
      </w:pPr>
      <w:r w:rsidRPr="00417097">
        <w:rPr>
          <w:rFonts w:asciiTheme="minorHAnsi" w:hAnsiTheme="minorHAnsi" w:cstheme="minorHAnsi"/>
          <w:i/>
          <w:caps/>
          <w:sz w:val="20"/>
          <w:szCs w:val="20"/>
        </w:rPr>
        <w:br w:type="page"/>
      </w:r>
    </w:p>
    <w:p w14:paraId="73012AEA" w14:textId="77777777" w:rsidR="00055E3A" w:rsidRPr="00417097" w:rsidRDefault="00055E3A" w:rsidP="00055E3A">
      <w:pPr>
        <w:pStyle w:val="Heading1"/>
        <w:spacing w:before="0" w:after="0"/>
        <w:rPr>
          <w:rFonts w:asciiTheme="minorHAnsi" w:hAnsiTheme="minorHAnsi" w:cstheme="minorHAnsi"/>
          <w:i w:val="0"/>
          <w:caps/>
        </w:rPr>
      </w:pPr>
      <w:bookmarkStart w:id="221" w:name="_Toc454459659"/>
      <w:bookmarkStart w:id="222" w:name="_Toc484506921"/>
      <w:r w:rsidRPr="00417097">
        <w:rPr>
          <w:rFonts w:asciiTheme="minorHAnsi" w:hAnsiTheme="minorHAnsi" w:cstheme="minorHAnsi"/>
          <w:i w:val="0"/>
          <w:caps/>
        </w:rPr>
        <w:lastRenderedPageBreak/>
        <w:t>Appendix A</w:t>
      </w:r>
      <w:bookmarkEnd w:id="221"/>
      <w:bookmarkEnd w:id="222"/>
    </w:p>
    <w:p w14:paraId="0ED8456D" w14:textId="77777777" w:rsidR="00055E3A" w:rsidRPr="00417097" w:rsidRDefault="00055E3A" w:rsidP="00055E3A">
      <w:pPr>
        <w:jc w:val="left"/>
        <w:rPr>
          <w:rFonts w:asciiTheme="minorHAnsi" w:hAnsiTheme="minorHAnsi" w:cstheme="minorHAnsi"/>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single" w:sz="4" w:space="0" w:color="807F83"/>
        </w:tblBorders>
        <w:tblLook w:val="04A0" w:firstRow="1" w:lastRow="0" w:firstColumn="1" w:lastColumn="0" w:noHBand="0" w:noVBand="1"/>
      </w:tblPr>
      <w:tblGrid>
        <w:gridCol w:w="2183"/>
        <w:gridCol w:w="7177"/>
      </w:tblGrid>
      <w:tr w:rsidR="00055E3A" w:rsidRPr="00417097" w14:paraId="4E57D03C" w14:textId="77777777" w:rsidTr="008F659A">
        <w:trPr>
          <w:trHeight w:val="265"/>
          <w:jc w:val="center"/>
        </w:trPr>
        <w:tc>
          <w:tcPr>
            <w:tcW w:w="2259" w:type="dxa"/>
            <w:tcBorders>
              <w:bottom w:val="nil"/>
            </w:tcBorders>
            <w:shd w:val="clear" w:color="auto" w:fill="807F83"/>
          </w:tcPr>
          <w:p w14:paraId="19EC282A" w14:textId="77777777" w:rsidR="00055E3A" w:rsidRPr="00417097" w:rsidRDefault="00055E3A" w:rsidP="008F659A">
            <w:pPr>
              <w:jc w:val="center"/>
              <w:rPr>
                <w:rFonts w:asciiTheme="minorHAnsi" w:hAnsiTheme="minorHAnsi" w:cstheme="minorHAnsi"/>
                <w:b/>
                <w:caps/>
                <w:color w:val="FFFFFF" w:themeColor="background1"/>
                <w:sz w:val="20"/>
                <w:szCs w:val="20"/>
              </w:rPr>
            </w:pPr>
            <w:r w:rsidRPr="00417097">
              <w:rPr>
                <w:rFonts w:asciiTheme="minorHAnsi" w:hAnsiTheme="minorHAnsi" w:cstheme="minorHAnsi"/>
                <w:b/>
                <w:caps/>
                <w:color w:val="FFFFFF" w:themeColor="background1"/>
                <w:sz w:val="20"/>
                <w:szCs w:val="20"/>
              </w:rPr>
              <w:t>Fund Category</w:t>
            </w:r>
          </w:p>
        </w:tc>
        <w:tc>
          <w:tcPr>
            <w:tcW w:w="7731" w:type="dxa"/>
            <w:tcBorders>
              <w:bottom w:val="nil"/>
            </w:tcBorders>
            <w:shd w:val="clear" w:color="auto" w:fill="807F83"/>
          </w:tcPr>
          <w:p w14:paraId="13CD8444" w14:textId="77777777" w:rsidR="00055E3A" w:rsidRPr="00417097" w:rsidRDefault="00055E3A" w:rsidP="008F659A">
            <w:pPr>
              <w:jc w:val="center"/>
              <w:rPr>
                <w:rFonts w:asciiTheme="minorHAnsi" w:hAnsiTheme="minorHAnsi" w:cstheme="minorHAnsi"/>
                <w:b/>
                <w:caps/>
                <w:color w:val="FFFFFF" w:themeColor="background1"/>
                <w:sz w:val="20"/>
                <w:szCs w:val="20"/>
              </w:rPr>
            </w:pPr>
            <w:r w:rsidRPr="00417097">
              <w:rPr>
                <w:rFonts w:asciiTheme="minorHAnsi" w:hAnsiTheme="minorHAnsi" w:cstheme="minorHAnsi"/>
                <w:b/>
                <w:caps/>
                <w:color w:val="FFFFFF" w:themeColor="background1"/>
                <w:sz w:val="20"/>
                <w:szCs w:val="20"/>
              </w:rPr>
              <w:t>Funds</w:t>
            </w:r>
          </w:p>
        </w:tc>
      </w:tr>
      <w:tr w:rsidR="00F055A9" w:rsidRPr="00417097" w14:paraId="0C49826C" w14:textId="77777777" w:rsidTr="008F659A">
        <w:trPr>
          <w:trHeight w:val="273"/>
          <w:jc w:val="center"/>
        </w:trPr>
        <w:tc>
          <w:tcPr>
            <w:tcW w:w="2259" w:type="dxa"/>
            <w:tcBorders>
              <w:bottom w:val="single" w:sz="4" w:space="0" w:color="807F83"/>
            </w:tcBorders>
          </w:tcPr>
          <w:p w14:paraId="3F08BDEA" w14:textId="520B5E0F" w:rsidR="00F055A9" w:rsidRPr="00417097" w:rsidRDefault="00F055A9" w:rsidP="008F659A">
            <w:pPr>
              <w:jc w:val="center"/>
              <w:rPr>
                <w:rFonts w:asciiTheme="minorHAnsi" w:hAnsiTheme="minorHAnsi" w:cstheme="minorHAnsi"/>
                <w:b/>
                <w:sz w:val="20"/>
                <w:szCs w:val="20"/>
              </w:rPr>
            </w:pPr>
            <w:r>
              <w:rPr>
                <w:rFonts w:asciiTheme="minorHAnsi" w:hAnsiTheme="minorHAnsi" w:cstheme="minorHAnsi"/>
                <w:b/>
                <w:sz w:val="20"/>
                <w:szCs w:val="20"/>
              </w:rPr>
              <w:t>Default Fund</w:t>
            </w:r>
            <w:bookmarkStart w:id="223" w:name="_GoBack"/>
            <w:bookmarkEnd w:id="223"/>
          </w:p>
        </w:tc>
        <w:tc>
          <w:tcPr>
            <w:tcW w:w="7731" w:type="dxa"/>
            <w:tcBorders>
              <w:bottom w:val="single" w:sz="4" w:space="0" w:color="807F83"/>
            </w:tcBorders>
          </w:tcPr>
          <w:p w14:paraId="4D6A9100" w14:textId="1C515ED9" w:rsidR="00F055A9" w:rsidRPr="000918A2" w:rsidRDefault="00F055A9" w:rsidP="008F659A">
            <w:pPr>
              <w:jc w:val="left"/>
              <w:rPr>
                <w:rFonts w:asciiTheme="minorHAnsi" w:hAnsiTheme="minorHAnsi" w:cstheme="minorHAnsi"/>
                <w:sz w:val="20"/>
                <w:szCs w:val="20"/>
                <w:highlight w:val="yellow"/>
              </w:rPr>
            </w:pPr>
            <w:r w:rsidRPr="000918A2">
              <w:rPr>
                <w:rFonts w:asciiTheme="minorHAnsi" w:hAnsiTheme="minorHAnsi" w:cstheme="minorHAnsi"/>
                <w:sz w:val="20"/>
                <w:szCs w:val="20"/>
                <w:highlight w:val="yellow"/>
              </w:rPr>
              <w:t>DIA, 1 year, 3 year &amp; 5 years</w:t>
            </w:r>
          </w:p>
        </w:tc>
      </w:tr>
      <w:tr w:rsidR="00055E3A" w:rsidRPr="00417097" w14:paraId="77192F01" w14:textId="77777777" w:rsidTr="008F659A">
        <w:trPr>
          <w:trHeight w:val="273"/>
          <w:jc w:val="center"/>
        </w:trPr>
        <w:tc>
          <w:tcPr>
            <w:tcW w:w="2259" w:type="dxa"/>
            <w:tcBorders>
              <w:bottom w:val="single" w:sz="4" w:space="0" w:color="807F83"/>
            </w:tcBorders>
          </w:tcPr>
          <w:p w14:paraId="19DC7C18" w14:textId="77777777" w:rsidR="00055E3A" w:rsidRPr="00417097" w:rsidRDefault="00055E3A" w:rsidP="008F659A">
            <w:pPr>
              <w:jc w:val="center"/>
              <w:rPr>
                <w:rFonts w:asciiTheme="minorHAnsi" w:hAnsiTheme="minorHAnsi" w:cstheme="minorHAnsi"/>
                <w:b/>
                <w:sz w:val="20"/>
                <w:szCs w:val="20"/>
              </w:rPr>
            </w:pPr>
            <w:r w:rsidRPr="00417097">
              <w:rPr>
                <w:rFonts w:asciiTheme="minorHAnsi" w:hAnsiTheme="minorHAnsi" w:cstheme="minorHAnsi"/>
                <w:b/>
                <w:sz w:val="20"/>
                <w:szCs w:val="20"/>
              </w:rPr>
              <w:t>Guaranteed Term</w:t>
            </w:r>
          </w:p>
        </w:tc>
        <w:tc>
          <w:tcPr>
            <w:tcW w:w="7731" w:type="dxa"/>
            <w:tcBorders>
              <w:bottom w:val="single" w:sz="4" w:space="0" w:color="807F83"/>
            </w:tcBorders>
          </w:tcPr>
          <w:p w14:paraId="3A916695" w14:textId="74487F87" w:rsidR="00055E3A" w:rsidRPr="00417097" w:rsidRDefault="00055E3A" w:rsidP="008F659A">
            <w:pPr>
              <w:jc w:val="left"/>
              <w:rPr>
                <w:rFonts w:asciiTheme="minorHAnsi" w:hAnsiTheme="minorHAnsi" w:cstheme="minorHAnsi"/>
                <w:color w:val="FF0000"/>
                <w:sz w:val="20"/>
                <w:szCs w:val="20"/>
              </w:rPr>
            </w:pPr>
          </w:p>
        </w:tc>
      </w:tr>
      <w:tr w:rsidR="00055E3A" w:rsidRPr="00417097" w14:paraId="335DD43D" w14:textId="77777777" w:rsidTr="008F659A">
        <w:trPr>
          <w:trHeight w:val="265"/>
          <w:jc w:val="center"/>
        </w:trPr>
        <w:tc>
          <w:tcPr>
            <w:tcW w:w="2259" w:type="dxa"/>
            <w:tcBorders>
              <w:top w:val="single" w:sz="4" w:space="0" w:color="807F83"/>
              <w:bottom w:val="single" w:sz="4" w:space="0" w:color="807F83"/>
            </w:tcBorders>
          </w:tcPr>
          <w:p w14:paraId="1C2D2124" w14:textId="77777777" w:rsidR="00055E3A" w:rsidRPr="00417097" w:rsidRDefault="00055E3A" w:rsidP="008F659A">
            <w:pPr>
              <w:jc w:val="center"/>
              <w:rPr>
                <w:rFonts w:asciiTheme="minorHAnsi" w:hAnsiTheme="minorHAnsi" w:cstheme="minorHAnsi"/>
                <w:b/>
                <w:sz w:val="20"/>
                <w:szCs w:val="20"/>
              </w:rPr>
            </w:pPr>
            <w:r w:rsidRPr="00417097">
              <w:rPr>
                <w:rFonts w:asciiTheme="minorHAnsi" w:hAnsiTheme="minorHAnsi" w:cstheme="minorHAnsi"/>
                <w:b/>
                <w:sz w:val="20"/>
                <w:szCs w:val="20"/>
              </w:rPr>
              <w:t>Target Risk Funds</w:t>
            </w:r>
          </w:p>
        </w:tc>
        <w:tc>
          <w:tcPr>
            <w:tcW w:w="7731" w:type="dxa"/>
            <w:tcBorders>
              <w:top w:val="single" w:sz="4" w:space="0" w:color="807F83"/>
              <w:bottom w:val="single" w:sz="4" w:space="0" w:color="807F83"/>
            </w:tcBorders>
          </w:tcPr>
          <w:p w14:paraId="0A5D2B96" w14:textId="77777777" w:rsidR="00055E3A" w:rsidRPr="00417097" w:rsidRDefault="00055E3A" w:rsidP="008F659A">
            <w:pPr>
              <w:jc w:val="left"/>
              <w:rPr>
                <w:rFonts w:asciiTheme="minorHAnsi" w:hAnsiTheme="minorHAnsi" w:cstheme="minorHAnsi"/>
                <w:sz w:val="20"/>
                <w:szCs w:val="20"/>
              </w:rPr>
            </w:pPr>
          </w:p>
        </w:tc>
      </w:tr>
      <w:tr w:rsidR="00055E3A" w:rsidRPr="00417097" w14:paraId="6F76601C" w14:textId="77777777" w:rsidTr="008F659A">
        <w:trPr>
          <w:trHeight w:val="265"/>
          <w:jc w:val="center"/>
        </w:trPr>
        <w:tc>
          <w:tcPr>
            <w:tcW w:w="2259" w:type="dxa"/>
            <w:tcBorders>
              <w:top w:val="single" w:sz="4" w:space="0" w:color="807F83"/>
              <w:bottom w:val="single" w:sz="4" w:space="0" w:color="807F83"/>
            </w:tcBorders>
          </w:tcPr>
          <w:p w14:paraId="31A3EB39"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7883B2FC" w14:textId="77777777" w:rsidR="00055E3A" w:rsidRPr="00417097" w:rsidRDefault="00055E3A" w:rsidP="008F659A">
            <w:pPr>
              <w:jc w:val="left"/>
              <w:rPr>
                <w:rFonts w:asciiTheme="minorHAnsi" w:hAnsiTheme="minorHAnsi" w:cstheme="minorHAnsi"/>
                <w:sz w:val="20"/>
                <w:szCs w:val="20"/>
              </w:rPr>
            </w:pPr>
          </w:p>
        </w:tc>
      </w:tr>
      <w:tr w:rsidR="00055E3A" w:rsidRPr="00417097" w14:paraId="1483A536" w14:textId="77777777" w:rsidTr="008F659A">
        <w:trPr>
          <w:trHeight w:val="265"/>
          <w:jc w:val="center"/>
        </w:trPr>
        <w:tc>
          <w:tcPr>
            <w:tcW w:w="2259" w:type="dxa"/>
            <w:tcBorders>
              <w:top w:val="single" w:sz="4" w:space="0" w:color="807F83"/>
              <w:bottom w:val="single" w:sz="4" w:space="0" w:color="807F83"/>
            </w:tcBorders>
          </w:tcPr>
          <w:p w14:paraId="2B520809"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050B1079" w14:textId="77777777" w:rsidR="00055E3A" w:rsidRPr="00417097" w:rsidRDefault="00055E3A" w:rsidP="008F659A">
            <w:pPr>
              <w:jc w:val="left"/>
              <w:rPr>
                <w:rFonts w:asciiTheme="minorHAnsi" w:hAnsiTheme="minorHAnsi" w:cstheme="minorHAnsi"/>
                <w:sz w:val="20"/>
                <w:szCs w:val="20"/>
              </w:rPr>
            </w:pPr>
          </w:p>
        </w:tc>
      </w:tr>
      <w:tr w:rsidR="00055E3A" w:rsidRPr="00417097" w14:paraId="1A963E2A" w14:textId="77777777" w:rsidTr="008F659A">
        <w:trPr>
          <w:trHeight w:val="265"/>
          <w:jc w:val="center"/>
        </w:trPr>
        <w:tc>
          <w:tcPr>
            <w:tcW w:w="2259" w:type="dxa"/>
            <w:tcBorders>
              <w:top w:val="single" w:sz="4" w:space="0" w:color="807F83"/>
              <w:bottom w:val="single" w:sz="4" w:space="0" w:color="807F83"/>
            </w:tcBorders>
          </w:tcPr>
          <w:p w14:paraId="1965C563"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7052265A" w14:textId="77777777" w:rsidR="00055E3A" w:rsidRPr="00417097" w:rsidRDefault="00055E3A" w:rsidP="008F659A">
            <w:pPr>
              <w:jc w:val="left"/>
              <w:rPr>
                <w:rFonts w:asciiTheme="minorHAnsi" w:hAnsiTheme="minorHAnsi" w:cstheme="minorHAnsi"/>
                <w:sz w:val="20"/>
                <w:szCs w:val="20"/>
              </w:rPr>
            </w:pPr>
          </w:p>
        </w:tc>
      </w:tr>
      <w:tr w:rsidR="00055E3A" w:rsidRPr="00417097" w14:paraId="06CB8984" w14:textId="77777777" w:rsidTr="008F659A">
        <w:trPr>
          <w:trHeight w:val="265"/>
          <w:jc w:val="center"/>
        </w:trPr>
        <w:tc>
          <w:tcPr>
            <w:tcW w:w="2259" w:type="dxa"/>
            <w:tcBorders>
              <w:top w:val="single" w:sz="4" w:space="0" w:color="807F83"/>
              <w:bottom w:val="single" w:sz="4" w:space="0" w:color="807F83"/>
            </w:tcBorders>
          </w:tcPr>
          <w:p w14:paraId="10DB814A"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4FFBB7EB" w14:textId="77777777" w:rsidR="00055E3A" w:rsidRPr="00417097" w:rsidRDefault="00055E3A" w:rsidP="008F659A">
            <w:pPr>
              <w:jc w:val="left"/>
              <w:rPr>
                <w:rFonts w:asciiTheme="minorHAnsi" w:hAnsiTheme="minorHAnsi" w:cstheme="minorHAnsi"/>
                <w:sz w:val="20"/>
                <w:szCs w:val="20"/>
              </w:rPr>
            </w:pPr>
          </w:p>
        </w:tc>
      </w:tr>
      <w:tr w:rsidR="00055E3A" w:rsidRPr="00417097" w14:paraId="1F77E15C" w14:textId="77777777" w:rsidTr="008F659A">
        <w:trPr>
          <w:trHeight w:val="265"/>
          <w:jc w:val="center"/>
        </w:trPr>
        <w:tc>
          <w:tcPr>
            <w:tcW w:w="2259" w:type="dxa"/>
            <w:tcBorders>
              <w:top w:val="single" w:sz="4" w:space="0" w:color="807F83"/>
              <w:bottom w:val="single" w:sz="4" w:space="0" w:color="807F83"/>
            </w:tcBorders>
          </w:tcPr>
          <w:p w14:paraId="496749F2" w14:textId="77777777" w:rsidR="00055E3A" w:rsidRPr="00417097" w:rsidRDefault="00055E3A" w:rsidP="008F659A">
            <w:pPr>
              <w:jc w:val="center"/>
              <w:rPr>
                <w:rFonts w:asciiTheme="minorHAnsi" w:hAnsiTheme="minorHAnsi" w:cstheme="minorHAnsi"/>
                <w:b/>
                <w:sz w:val="20"/>
                <w:szCs w:val="20"/>
              </w:rPr>
            </w:pPr>
            <w:r w:rsidRPr="00417097">
              <w:rPr>
                <w:rFonts w:asciiTheme="minorHAnsi" w:hAnsiTheme="minorHAnsi" w:cstheme="minorHAnsi"/>
                <w:b/>
                <w:sz w:val="20"/>
                <w:szCs w:val="20"/>
              </w:rPr>
              <w:t>Target Date Funds</w:t>
            </w:r>
          </w:p>
        </w:tc>
        <w:tc>
          <w:tcPr>
            <w:tcW w:w="7731" w:type="dxa"/>
            <w:tcBorders>
              <w:top w:val="single" w:sz="4" w:space="0" w:color="807F83"/>
              <w:bottom w:val="single" w:sz="4" w:space="0" w:color="807F83"/>
            </w:tcBorders>
          </w:tcPr>
          <w:p w14:paraId="1A8C9D36" w14:textId="77777777" w:rsidR="00055E3A" w:rsidRPr="00417097" w:rsidRDefault="00055E3A" w:rsidP="008F659A">
            <w:pPr>
              <w:jc w:val="left"/>
              <w:rPr>
                <w:rFonts w:asciiTheme="minorHAnsi" w:hAnsiTheme="minorHAnsi" w:cstheme="minorHAnsi"/>
                <w:sz w:val="20"/>
                <w:szCs w:val="20"/>
              </w:rPr>
            </w:pPr>
          </w:p>
        </w:tc>
      </w:tr>
      <w:tr w:rsidR="00055E3A" w:rsidRPr="00417097" w14:paraId="48C293F5" w14:textId="77777777" w:rsidTr="008F659A">
        <w:trPr>
          <w:trHeight w:val="265"/>
          <w:jc w:val="center"/>
        </w:trPr>
        <w:tc>
          <w:tcPr>
            <w:tcW w:w="2259" w:type="dxa"/>
            <w:tcBorders>
              <w:top w:val="single" w:sz="4" w:space="0" w:color="807F83"/>
              <w:bottom w:val="single" w:sz="4" w:space="0" w:color="807F83"/>
            </w:tcBorders>
          </w:tcPr>
          <w:p w14:paraId="550D3780"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7717025D" w14:textId="77777777" w:rsidR="00055E3A" w:rsidRPr="00417097" w:rsidRDefault="00055E3A" w:rsidP="008F659A">
            <w:pPr>
              <w:jc w:val="left"/>
              <w:rPr>
                <w:rFonts w:asciiTheme="minorHAnsi" w:hAnsiTheme="minorHAnsi" w:cstheme="minorHAnsi"/>
                <w:sz w:val="20"/>
                <w:szCs w:val="20"/>
              </w:rPr>
            </w:pPr>
          </w:p>
        </w:tc>
      </w:tr>
      <w:tr w:rsidR="00055E3A" w:rsidRPr="00417097" w14:paraId="72F183D1" w14:textId="77777777" w:rsidTr="008F659A">
        <w:trPr>
          <w:trHeight w:val="265"/>
          <w:jc w:val="center"/>
        </w:trPr>
        <w:tc>
          <w:tcPr>
            <w:tcW w:w="2259" w:type="dxa"/>
            <w:tcBorders>
              <w:top w:val="single" w:sz="4" w:space="0" w:color="807F83"/>
              <w:bottom w:val="single" w:sz="4" w:space="0" w:color="807F83"/>
            </w:tcBorders>
          </w:tcPr>
          <w:p w14:paraId="6BB306AD"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4E141189" w14:textId="77777777" w:rsidR="00055E3A" w:rsidRPr="00417097" w:rsidRDefault="00055E3A" w:rsidP="008F659A">
            <w:pPr>
              <w:jc w:val="left"/>
              <w:rPr>
                <w:rFonts w:asciiTheme="minorHAnsi" w:hAnsiTheme="minorHAnsi" w:cstheme="minorHAnsi"/>
                <w:sz w:val="20"/>
                <w:szCs w:val="20"/>
              </w:rPr>
            </w:pPr>
          </w:p>
        </w:tc>
      </w:tr>
      <w:tr w:rsidR="00055E3A" w:rsidRPr="00417097" w14:paraId="4BFB8731" w14:textId="77777777" w:rsidTr="008F659A">
        <w:trPr>
          <w:trHeight w:val="265"/>
          <w:jc w:val="center"/>
        </w:trPr>
        <w:tc>
          <w:tcPr>
            <w:tcW w:w="2259" w:type="dxa"/>
            <w:tcBorders>
              <w:top w:val="single" w:sz="4" w:space="0" w:color="807F83"/>
              <w:bottom w:val="single" w:sz="4" w:space="0" w:color="807F83"/>
            </w:tcBorders>
          </w:tcPr>
          <w:p w14:paraId="365ADAF8"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568F2140" w14:textId="77777777" w:rsidR="00055E3A" w:rsidRPr="00417097" w:rsidRDefault="00055E3A" w:rsidP="008F659A">
            <w:pPr>
              <w:jc w:val="left"/>
              <w:rPr>
                <w:rFonts w:asciiTheme="minorHAnsi" w:hAnsiTheme="minorHAnsi" w:cstheme="minorHAnsi"/>
                <w:sz w:val="20"/>
                <w:szCs w:val="20"/>
              </w:rPr>
            </w:pPr>
          </w:p>
        </w:tc>
      </w:tr>
      <w:tr w:rsidR="00055E3A" w:rsidRPr="00417097" w14:paraId="61EA4DF9" w14:textId="77777777" w:rsidTr="008F659A">
        <w:trPr>
          <w:trHeight w:val="265"/>
          <w:jc w:val="center"/>
        </w:trPr>
        <w:tc>
          <w:tcPr>
            <w:tcW w:w="2259" w:type="dxa"/>
            <w:tcBorders>
              <w:top w:val="single" w:sz="4" w:space="0" w:color="807F83"/>
              <w:bottom w:val="single" w:sz="4" w:space="0" w:color="807F83"/>
            </w:tcBorders>
          </w:tcPr>
          <w:p w14:paraId="0B7E2EB5"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02D2894F" w14:textId="77777777" w:rsidR="00055E3A" w:rsidRPr="00417097" w:rsidRDefault="00055E3A" w:rsidP="008F659A">
            <w:pPr>
              <w:jc w:val="left"/>
              <w:rPr>
                <w:rFonts w:asciiTheme="minorHAnsi" w:hAnsiTheme="minorHAnsi" w:cstheme="minorHAnsi"/>
                <w:sz w:val="20"/>
                <w:szCs w:val="20"/>
              </w:rPr>
            </w:pPr>
          </w:p>
        </w:tc>
      </w:tr>
      <w:tr w:rsidR="00055E3A" w:rsidRPr="00417097" w14:paraId="7A606487" w14:textId="77777777" w:rsidTr="008F659A">
        <w:trPr>
          <w:trHeight w:val="265"/>
          <w:jc w:val="center"/>
        </w:trPr>
        <w:tc>
          <w:tcPr>
            <w:tcW w:w="2259" w:type="dxa"/>
            <w:tcBorders>
              <w:top w:val="single" w:sz="4" w:space="0" w:color="807F83"/>
              <w:bottom w:val="single" w:sz="4" w:space="0" w:color="807F83"/>
            </w:tcBorders>
          </w:tcPr>
          <w:p w14:paraId="74BE4517"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426D68F5" w14:textId="77777777" w:rsidR="00055E3A" w:rsidRPr="00417097" w:rsidRDefault="00055E3A" w:rsidP="008F659A">
            <w:pPr>
              <w:jc w:val="left"/>
              <w:rPr>
                <w:rFonts w:asciiTheme="minorHAnsi" w:hAnsiTheme="minorHAnsi" w:cstheme="minorHAnsi"/>
                <w:sz w:val="20"/>
                <w:szCs w:val="20"/>
              </w:rPr>
            </w:pPr>
          </w:p>
        </w:tc>
      </w:tr>
      <w:tr w:rsidR="00055E3A" w:rsidRPr="00417097" w14:paraId="5C065731" w14:textId="77777777" w:rsidTr="008F659A">
        <w:trPr>
          <w:trHeight w:val="265"/>
          <w:jc w:val="center"/>
        </w:trPr>
        <w:tc>
          <w:tcPr>
            <w:tcW w:w="2259" w:type="dxa"/>
            <w:tcBorders>
              <w:top w:val="single" w:sz="4" w:space="0" w:color="807F83"/>
              <w:bottom w:val="single" w:sz="4" w:space="0" w:color="807F83"/>
            </w:tcBorders>
          </w:tcPr>
          <w:p w14:paraId="5EFD93F7"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41224D90" w14:textId="77777777" w:rsidR="00055E3A" w:rsidRPr="00417097" w:rsidRDefault="00055E3A" w:rsidP="008F659A">
            <w:pPr>
              <w:jc w:val="left"/>
              <w:rPr>
                <w:rFonts w:asciiTheme="minorHAnsi" w:hAnsiTheme="minorHAnsi" w:cstheme="minorHAnsi"/>
                <w:sz w:val="20"/>
                <w:szCs w:val="20"/>
              </w:rPr>
            </w:pPr>
          </w:p>
        </w:tc>
      </w:tr>
      <w:tr w:rsidR="00055E3A" w:rsidRPr="00417097" w14:paraId="3D89FC2C" w14:textId="77777777" w:rsidTr="008F659A">
        <w:trPr>
          <w:trHeight w:val="265"/>
          <w:jc w:val="center"/>
        </w:trPr>
        <w:tc>
          <w:tcPr>
            <w:tcW w:w="2259" w:type="dxa"/>
            <w:tcBorders>
              <w:top w:val="single" w:sz="4" w:space="0" w:color="807F83"/>
              <w:bottom w:val="single" w:sz="4" w:space="0" w:color="807F83"/>
            </w:tcBorders>
          </w:tcPr>
          <w:p w14:paraId="7A4BD062"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49863AC9" w14:textId="77777777" w:rsidR="00055E3A" w:rsidRPr="00417097" w:rsidRDefault="00055E3A" w:rsidP="008F659A">
            <w:pPr>
              <w:jc w:val="left"/>
              <w:rPr>
                <w:rFonts w:asciiTheme="minorHAnsi" w:hAnsiTheme="minorHAnsi" w:cstheme="minorHAnsi"/>
                <w:sz w:val="20"/>
                <w:szCs w:val="20"/>
              </w:rPr>
            </w:pPr>
          </w:p>
        </w:tc>
      </w:tr>
      <w:tr w:rsidR="00055E3A" w:rsidRPr="00417097" w14:paraId="1F41EA3B" w14:textId="77777777" w:rsidTr="008F659A">
        <w:trPr>
          <w:trHeight w:val="265"/>
          <w:jc w:val="center"/>
        </w:trPr>
        <w:tc>
          <w:tcPr>
            <w:tcW w:w="2259" w:type="dxa"/>
            <w:tcBorders>
              <w:top w:val="single" w:sz="4" w:space="0" w:color="807F83"/>
              <w:bottom w:val="single" w:sz="4" w:space="0" w:color="807F83"/>
            </w:tcBorders>
          </w:tcPr>
          <w:p w14:paraId="719C04F0" w14:textId="77777777" w:rsidR="00055E3A" w:rsidRPr="00417097" w:rsidRDefault="00055E3A" w:rsidP="008F659A">
            <w:pPr>
              <w:jc w:val="center"/>
              <w:rPr>
                <w:rFonts w:asciiTheme="minorHAnsi" w:hAnsiTheme="minorHAnsi" w:cstheme="minorHAnsi"/>
                <w:b/>
                <w:sz w:val="20"/>
                <w:szCs w:val="20"/>
              </w:rPr>
            </w:pPr>
            <w:r w:rsidRPr="00417097">
              <w:rPr>
                <w:rFonts w:asciiTheme="minorHAnsi" w:hAnsiTheme="minorHAnsi" w:cstheme="minorHAnsi"/>
                <w:b/>
                <w:sz w:val="20"/>
                <w:szCs w:val="20"/>
              </w:rPr>
              <w:t>Money Market</w:t>
            </w:r>
          </w:p>
        </w:tc>
        <w:tc>
          <w:tcPr>
            <w:tcW w:w="7731" w:type="dxa"/>
            <w:tcBorders>
              <w:top w:val="single" w:sz="4" w:space="0" w:color="807F83"/>
              <w:bottom w:val="single" w:sz="4" w:space="0" w:color="807F83"/>
            </w:tcBorders>
          </w:tcPr>
          <w:p w14:paraId="09766D0B" w14:textId="77777777" w:rsidR="00055E3A" w:rsidRPr="00417097" w:rsidRDefault="00055E3A" w:rsidP="008F659A">
            <w:pPr>
              <w:jc w:val="left"/>
              <w:rPr>
                <w:rFonts w:asciiTheme="minorHAnsi" w:hAnsiTheme="minorHAnsi" w:cstheme="minorHAnsi"/>
                <w:sz w:val="20"/>
                <w:szCs w:val="20"/>
              </w:rPr>
            </w:pPr>
          </w:p>
        </w:tc>
      </w:tr>
      <w:tr w:rsidR="00055E3A" w:rsidRPr="00417097" w14:paraId="12D609AA" w14:textId="77777777" w:rsidTr="008F659A">
        <w:trPr>
          <w:trHeight w:val="265"/>
          <w:jc w:val="center"/>
        </w:trPr>
        <w:tc>
          <w:tcPr>
            <w:tcW w:w="2259" w:type="dxa"/>
            <w:tcBorders>
              <w:top w:val="single" w:sz="4" w:space="0" w:color="807F83"/>
              <w:bottom w:val="single" w:sz="4" w:space="0" w:color="807F83"/>
            </w:tcBorders>
          </w:tcPr>
          <w:p w14:paraId="3EC3ABDB" w14:textId="77777777" w:rsidR="00055E3A" w:rsidRPr="00417097" w:rsidRDefault="00055E3A" w:rsidP="008F659A">
            <w:pPr>
              <w:jc w:val="center"/>
              <w:rPr>
                <w:rFonts w:asciiTheme="minorHAnsi" w:hAnsiTheme="minorHAnsi" w:cstheme="minorHAnsi"/>
                <w:b/>
                <w:sz w:val="20"/>
                <w:szCs w:val="20"/>
              </w:rPr>
            </w:pPr>
            <w:r w:rsidRPr="00417097">
              <w:rPr>
                <w:rFonts w:asciiTheme="minorHAnsi" w:hAnsiTheme="minorHAnsi" w:cstheme="minorHAnsi"/>
                <w:b/>
                <w:sz w:val="20"/>
                <w:szCs w:val="20"/>
              </w:rPr>
              <w:t>Fixed Income</w:t>
            </w:r>
          </w:p>
        </w:tc>
        <w:tc>
          <w:tcPr>
            <w:tcW w:w="7731" w:type="dxa"/>
            <w:tcBorders>
              <w:top w:val="single" w:sz="4" w:space="0" w:color="807F83"/>
              <w:bottom w:val="single" w:sz="4" w:space="0" w:color="807F83"/>
            </w:tcBorders>
          </w:tcPr>
          <w:p w14:paraId="73A4C2E7" w14:textId="77777777" w:rsidR="00055E3A" w:rsidRPr="00417097" w:rsidRDefault="00055E3A" w:rsidP="008F659A">
            <w:pPr>
              <w:jc w:val="left"/>
              <w:rPr>
                <w:rFonts w:asciiTheme="minorHAnsi" w:hAnsiTheme="minorHAnsi" w:cstheme="minorHAnsi"/>
                <w:sz w:val="20"/>
                <w:szCs w:val="20"/>
              </w:rPr>
            </w:pPr>
          </w:p>
        </w:tc>
      </w:tr>
      <w:tr w:rsidR="00055E3A" w:rsidRPr="00417097" w14:paraId="2CC548DB" w14:textId="77777777" w:rsidTr="008F659A">
        <w:trPr>
          <w:trHeight w:val="265"/>
          <w:jc w:val="center"/>
        </w:trPr>
        <w:tc>
          <w:tcPr>
            <w:tcW w:w="2259" w:type="dxa"/>
            <w:tcBorders>
              <w:top w:val="single" w:sz="4" w:space="0" w:color="807F83"/>
              <w:bottom w:val="single" w:sz="4" w:space="0" w:color="807F83"/>
            </w:tcBorders>
          </w:tcPr>
          <w:p w14:paraId="383D680B"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26CD4B0F" w14:textId="77777777" w:rsidR="00055E3A" w:rsidRPr="00417097" w:rsidRDefault="00055E3A" w:rsidP="008F659A">
            <w:pPr>
              <w:jc w:val="left"/>
              <w:rPr>
                <w:rFonts w:asciiTheme="minorHAnsi" w:hAnsiTheme="minorHAnsi" w:cstheme="minorHAnsi"/>
                <w:sz w:val="20"/>
                <w:szCs w:val="20"/>
              </w:rPr>
            </w:pPr>
          </w:p>
        </w:tc>
      </w:tr>
      <w:tr w:rsidR="00055E3A" w:rsidRPr="00417097" w14:paraId="78973B46" w14:textId="77777777" w:rsidTr="008F659A">
        <w:trPr>
          <w:trHeight w:val="265"/>
          <w:jc w:val="center"/>
        </w:trPr>
        <w:tc>
          <w:tcPr>
            <w:tcW w:w="2259" w:type="dxa"/>
            <w:tcBorders>
              <w:top w:val="single" w:sz="4" w:space="0" w:color="807F83"/>
              <w:bottom w:val="single" w:sz="4" w:space="0" w:color="807F83"/>
            </w:tcBorders>
          </w:tcPr>
          <w:p w14:paraId="2788BB33" w14:textId="77777777" w:rsidR="00055E3A" w:rsidRPr="00417097" w:rsidRDefault="00055E3A" w:rsidP="008F659A">
            <w:pPr>
              <w:jc w:val="center"/>
              <w:rPr>
                <w:rFonts w:asciiTheme="minorHAnsi" w:hAnsiTheme="minorHAnsi" w:cstheme="minorHAnsi"/>
                <w:b/>
                <w:sz w:val="20"/>
                <w:szCs w:val="20"/>
              </w:rPr>
            </w:pPr>
            <w:r w:rsidRPr="00417097">
              <w:rPr>
                <w:rFonts w:asciiTheme="minorHAnsi" w:hAnsiTheme="minorHAnsi" w:cstheme="minorHAnsi"/>
                <w:b/>
                <w:sz w:val="20"/>
                <w:szCs w:val="20"/>
              </w:rPr>
              <w:t>Balanced</w:t>
            </w:r>
          </w:p>
        </w:tc>
        <w:tc>
          <w:tcPr>
            <w:tcW w:w="7731" w:type="dxa"/>
            <w:tcBorders>
              <w:top w:val="single" w:sz="4" w:space="0" w:color="807F83"/>
              <w:bottom w:val="single" w:sz="4" w:space="0" w:color="807F83"/>
            </w:tcBorders>
          </w:tcPr>
          <w:p w14:paraId="43824B80" w14:textId="77777777" w:rsidR="00055E3A" w:rsidRPr="00417097" w:rsidRDefault="00055E3A" w:rsidP="008F659A">
            <w:pPr>
              <w:jc w:val="left"/>
              <w:rPr>
                <w:rFonts w:asciiTheme="minorHAnsi" w:hAnsiTheme="minorHAnsi" w:cstheme="minorHAnsi"/>
                <w:sz w:val="20"/>
                <w:szCs w:val="20"/>
              </w:rPr>
            </w:pPr>
          </w:p>
        </w:tc>
      </w:tr>
      <w:tr w:rsidR="00055E3A" w:rsidRPr="00417097" w14:paraId="2E970787" w14:textId="77777777" w:rsidTr="008F659A">
        <w:trPr>
          <w:trHeight w:val="265"/>
          <w:jc w:val="center"/>
        </w:trPr>
        <w:tc>
          <w:tcPr>
            <w:tcW w:w="2259" w:type="dxa"/>
            <w:tcBorders>
              <w:top w:val="single" w:sz="4" w:space="0" w:color="807F83"/>
              <w:bottom w:val="single" w:sz="4" w:space="0" w:color="807F83"/>
            </w:tcBorders>
          </w:tcPr>
          <w:p w14:paraId="5CC9DB19"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46E732DC" w14:textId="77777777" w:rsidR="00055E3A" w:rsidRPr="00417097" w:rsidRDefault="00055E3A" w:rsidP="008F659A">
            <w:pPr>
              <w:jc w:val="left"/>
              <w:rPr>
                <w:rFonts w:asciiTheme="minorHAnsi" w:hAnsiTheme="minorHAnsi" w:cstheme="minorHAnsi"/>
                <w:sz w:val="20"/>
                <w:szCs w:val="20"/>
              </w:rPr>
            </w:pPr>
          </w:p>
        </w:tc>
      </w:tr>
      <w:tr w:rsidR="00055E3A" w:rsidRPr="00417097" w14:paraId="5F56AE64" w14:textId="77777777" w:rsidTr="008F659A">
        <w:trPr>
          <w:trHeight w:val="265"/>
          <w:jc w:val="center"/>
        </w:trPr>
        <w:tc>
          <w:tcPr>
            <w:tcW w:w="2259" w:type="dxa"/>
            <w:tcBorders>
              <w:top w:val="single" w:sz="4" w:space="0" w:color="807F83"/>
              <w:bottom w:val="single" w:sz="4" w:space="0" w:color="807F83"/>
            </w:tcBorders>
          </w:tcPr>
          <w:p w14:paraId="73088534"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28EB20D1" w14:textId="77777777" w:rsidR="00055E3A" w:rsidRPr="00417097" w:rsidRDefault="00055E3A" w:rsidP="008F659A">
            <w:pPr>
              <w:jc w:val="left"/>
              <w:rPr>
                <w:rFonts w:asciiTheme="minorHAnsi" w:hAnsiTheme="minorHAnsi" w:cstheme="minorHAnsi"/>
                <w:sz w:val="20"/>
                <w:szCs w:val="20"/>
              </w:rPr>
            </w:pPr>
          </w:p>
        </w:tc>
      </w:tr>
      <w:tr w:rsidR="00055E3A" w:rsidRPr="00417097" w14:paraId="17C186F2" w14:textId="77777777" w:rsidTr="008F659A">
        <w:trPr>
          <w:trHeight w:val="265"/>
          <w:jc w:val="center"/>
        </w:trPr>
        <w:tc>
          <w:tcPr>
            <w:tcW w:w="2259" w:type="dxa"/>
            <w:tcBorders>
              <w:top w:val="single" w:sz="4" w:space="0" w:color="807F83"/>
              <w:bottom w:val="single" w:sz="4" w:space="0" w:color="807F83"/>
            </w:tcBorders>
          </w:tcPr>
          <w:p w14:paraId="1B6D2293"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44D418A0" w14:textId="77777777" w:rsidR="00055E3A" w:rsidRPr="00417097" w:rsidRDefault="00055E3A" w:rsidP="008F659A">
            <w:pPr>
              <w:jc w:val="left"/>
              <w:rPr>
                <w:rFonts w:asciiTheme="minorHAnsi" w:hAnsiTheme="minorHAnsi" w:cstheme="minorHAnsi"/>
                <w:sz w:val="20"/>
                <w:szCs w:val="20"/>
              </w:rPr>
            </w:pPr>
          </w:p>
        </w:tc>
      </w:tr>
      <w:tr w:rsidR="00055E3A" w:rsidRPr="00417097" w14:paraId="15E9F1FE" w14:textId="77777777" w:rsidTr="008F659A">
        <w:trPr>
          <w:trHeight w:val="265"/>
          <w:jc w:val="center"/>
        </w:trPr>
        <w:tc>
          <w:tcPr>
            <w:tcW w:w="2259" w:type="dxa"/>
            <w:tcBorders>
              <w:top w:val="single" w:sz="4" w:space="0" w:color="807F83"/>
              <w:bottom w:val="single" w:sz="4" w:space="0" w:color="807F83"/>
            </w:tcBorders>
          </w:tcPr>
          <w:p w14:paraId="7662BD10" w14:textId="77777777" w:rsidR="00055E3A" w:rsidRPr="00417097" w:rsidRDefault="00055E3A" w:rsidP="008F659A">
            <w:pPr>
              <w:jc w:val="center"/>
              <w:rPr>
                <w:rFonts w:asciiTheme="minorHAnsi" w:hAnsiTheme="minorHAnsi" w:cstheme="minorHAnsi"/>
                <w:b/>
                <w:sz w:val="20"/>
                <w:szCs w:val="20"/>
              </w:rPr>
            </w:pPr>
            <w:r w:rsidRPr="00417097">
              <w:rPr>
                <w:rFonts w:asciiTheme="minorHAnsi" w:hAnsiTheme="minorHAnsi" w:cstheme="minorHAnsi"/>
                <w:b/>
                <w:sz w:val="20"/>
                <w:szCs w:val="20"/>
              </w:rPr>
              <w:t>Canadian Equity</w:t>
            </w:r>
          </w:p>
        </w:tc>
        <w:tc>
          <w:tcPr>
            <w:tcW w:w="7731" w:type="dxa"/>
            <w:tcBorders>
              <w:top w:val="single" w:sz="4" w:space="0" w:color="807F83"/>
              <w:bottom w:val="single" w:sz="4" w:space="0" w:color="807F83"/>
            </w:tcBorders>
          </w:tcPr>
          <w:p w14:paraId="44FC1622" w14:textId="77777777" w:rsidR="00055E3A" w:rsidRPr="00417097" w:rsidRDefault="00055E3A" w:rsidP="008F659A">
            <w:pPr>
              <w:jc w:val="left"/>
              <w:rPr>
                <w:rFonts w:asciiTheme="minorHAnsi" w:hAnsiTheme="minorHAnsi" w:cstheme="minorHAnsi"/>
                <w:sz w:val="20"/>
                <w:szCs w:val="20"/>
              </w:rPr>
            </w:pPr>
          </w:p>
        </w:tc>
      </w:tr>
      <w:tr w:rsidR="00055E3A" w:rsidRPr="00417097" w14:paraId="1AEFB96D" w14:textId="77777777" w:rsidTr="008F659A">
        <w:trPr>
          <w:trHeight w:val="265"/>
          <w:jc w:val="center"/>
        </w:trPr>
        <w:tc>
          <w:tcPr>
            <w:tcW w:w="2259" w:type="dxa"/>
            <w:tcBorders>
              <w:top w:val="single" w:sz="4" w:space="0" w:color="807F83"/>
              <w:bottom w:val="single" w:sz="4" w:space="0" w:color="807F83"/>
            </w:tcBorders>
          </w:tcPr>
          <w:p w14:paraId="4AF5565E"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40FF3DB9" w14:textId="77777777" w:rsidR="00055E3A" w:rsidRPr="00417097" w:rsidRDefault="00055E3A" w:rsidP="008F659A">
            <w:pPr>
              <w:jc w:val="left"/>
              <w:rPr>
                <w:rFonts w:asciiTheme="minorHAnsi" w:hAnsiTheme="minorHAnsi" w:cstheme="minorHAnsi"/>
                <w:sz w:val="20"/>
                <w:szCs w:val="20"/>
              </w:rPr>
            </w:pPr>
          </w:p>
        </w:tc>
      </w:tr>
      <w:tr w:rsidR="00055E3A" w:rsidRPr="00417097" w14:paraId="423A50E3" w14:textId="77777777" w:rsidTr="008F659A">
        <w:trPr>
          <w:trHeight w:val="265"/>
          <w:jc w:val="center"/>
        </w:trPr>
        <w:tc>
          <w:tcPr>
            <w:tcW w:w="2259" w:type="dxa"/>
            <w:tcBorders>
              <w:top w:val="single" w:sz="4" w:space="0" w:color="807F83"/>
              <w:bottom w:val="single" w:sz="4" w:space="0" w:color="807F83"/>
            </w:tcBorders>
          </w:tcPr>
          <w:p w14:paraId="79A94E8E"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6F37941F" w14:textId="77777777" w:rsidR="00055E3A" w:rsidRPr="00417097" w:rsidRDefault="00055E3A" w:rsidP="008F659A">
            <w:pPr>
              <w:jc w:val="left"/>
              <w:rPr>
                <w:rFonts w:asciiTheme="minorHAnsi" w:hAnsiTheme="minorHAnsi" w:cstheme="minorHAnsi"/>
                <w:sz w:val="20"/>
                <w:szCs w:val="20"/>
              </w:rPr>
            </w:pPr>
          </w:p>
        </w:tc>
      </w:tr>
      <w:tr w:rsidR="00055E3A" w:rsidRPr="00417097" w14:paraId="794AEA4E" w14:textId="77777777" w:rsidTr="008F659A">
        <w:trPr>
          <w:trHeight w:val="265"/>
          <w:jc w:val="center"/>
        </w:trPr>
        <w:tc>
          <w:tcPr>
            <w:tcW w:w="2259" w:type="dxa"/>
            <w:tcBorders>
              <w:top w:val="single" w:sz="4" w:space="0" w:color="807F83"/>
              <w:bottom w:val="single" w:sz="4" w:space="0" w:color="807F83"/>
            </w:tcBorders>
          </w:tcPr>
          <w:p w14:paraId="523DF665"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2E226A0B" w14:textId="77777777" w:rsidR="00055E3A" w:rsidRPr="00417097" w:rsidRDefault="00055E3A" w:rsidP="008F659A">
            <w:pPr>
              <w:jc w:val="left"/>
              <w:rPr>
                <w:rFonts w:asciiTheme="minorHAnsi" w:hAnsiTheme="minorHAnsi" w:cstheme="minorHAnsi"/>
                <w:sz w:val="20"/>
                <w:szCs w:val="20"/>
              </w:rPr>
            </w:pPr>
          </w:p>
        </w:tc>
      </w:tr>
      <w:tr w:rsidR="00055E3A" w:rsidRPr="00417097" w14:paraId="4DDB151C" w14:textId="77777777" w:rsidTr="008F659A">
        <w:trPr>
          <w:trHeight w:val="265"/>
          <w:jc w:val="center"/>
        </w:trPr>
        <w:tc>
          <w:tcPr>
            <w:tcW w:w="2259" w:type="dxa"/>
            <w:tcBorders>
              <w:top w:val="single" w:sz="4" w:space="0" w:color="807F83"/>
              <w:bottom w:val="single" w:sz="4" w:space="0" w:color="807F83"/>
            </w:tcBorders>
          </w:tcPr>
          <w:p w14:paraId="4A0BA906" w14:textId="77777777" w:rsidR="00055E3A" w:rsidRPr="00417097" w:rsidRDefault="00055E3A" w:rsidP="008F659A">
            <w:pPr>
              <w:jc w:val="center"/>
              <w:rPr>
                <w:rFonts w:asciiTheme="minorHAnsi" w:hAnsiTheme="minorHAnsi" w:cstheme="minorHAnsi"/>
                <w:b/>
                <w:sz w:val="20"/>
                <w:szCs w:val="20"/>
              </w:rPr>
            </w:pPr>
            <w:r w:rsidRPr="00417097">
              <w:rPr>
                <w:rFonts w:asciiTheme="minorHAnsi" w:hAnsiTheme="minorHAnsi" w:cstheme="minorHAnsi"/>
                <w:b/>
                <w:sz w:val="20"/>
                <w:szCs w:val="20"/>
              </w:rPr>
              <w:t>Canadian Small Cap</w:t>
            </w:r>
          </w:p>
        </w:tc>
        <w:tc>
          <w:tcPr>
            <w:tcW w:w="7731" w:type="dxa"/>
            <w:tcBorders>
              <w:top w:val="single" w:sz="4" w:space="0" w:color="807F83"/>
              <w:bottom w:val="single" w:sz="4" w:space="0" w:color="807F83"/>
            </w:tcBorders>
          </w:tcPr>
          <w:p w14:paraId="3C601A3B" w14:textId="77777777" w:rsidR="00055E3A" w:rsidRPr="00417097" w:rsidRDefault="00055E3A" w:rsidP="008F659A">
            <w:pPr>
              <w:jc w:val="left"/>
              <w:rPr>
                <w:rFonts w:asciiTheme="minorHAnsi" w:hAnsiTheme="minorHAnsi" w:cstheme="minorHAnsi"/>
                <w:sz w:val="20"/>
                <w:szCs w:val="20"/>
              </w:rPr>
            </w:pPr>
          </w:p>
        </w:tc>
      </w:tr>
      <w:tr w:rsidR="00055E3A" w:rsidRPr="00417097" w14:paraId="7A5E65A4" w14:textId="77777777" w:rsidTr="008F659A">
        <w:trPr>
          <w:trHeight w:val="265"/>
          <w:jc w:val="center"/>
        </w:trPr>
        <w:tc>
          <w:tcPr>
            <w:tcW w:w="2259" w:type="dxa"/>
            <w:tcBorders>
              <w:top w:val="single" w:sz="4" w:space="0" w:color="807F83"/>
              <w:bottom w:val="single" w:sz="4" w:space="0" w:color="807F83"/>
            </w:tcBorders>
          </w:tcPr>
          <w:p w14:paraId="68C5BE8B" w14:textId="77777777" w:rsidR="00055E3A" w:rsidRPr="00417097" w:rsidRDefault="00055E3A" w:rsidP="008F659A">
            <w:pPr>
              <w:jc w:val="center"/>
              <w:rPr>
                <w:rFonts w:asciiTheme="minorHAnsi" w:hAnsiTheme="minorHAnsi" w:cstheme="minorHAnsi"/>
                <w:b/>
                <w:sz w:val="20"/>
                <w:szCs w:val="20"/>
              </w:rPr>
            </w:pPr>
            <w:r w:rsidRPr="00417097">
              <w:rPr>
                <w:rFonts w:asciiTheme="minorHAnsi" w:hAnsiTheme="minorHAnsi" w:cstheme="minorHAnsi"/>
                <w:b/>
                <w:sz w:val="20"/>
                <w:szCs w:val="20"/>
              </w:rPr>
              <w:t>US Equity</w:t>
            </w:r>
          </w:p>
        </w:tc>
        <w:tc>
          <w:tcPr>
            <w:tcW w:w="7731" w:type="dxa"/>
            <w:tcBorders>
              <w:top w:val="single" w:sz="4" w:space="0" w:color="807F83"/>
              <w:bottom w:val="single" w:sz="4" w:space="0" w:color="807F83"/>
            </w:tcBorders>
          </w:tcPr>
          <w:p w14:paraId="052BBF81" w14:textId="77777777" w:rsidR="00055E3A" w:rsidRPr="00417097" w:rsidRDefault="00055E3A" w:rsidP="008F659A">
            <w:pPr>
              <w:jc w:val="left"/>
              <w:rPr>
                <w:rFonts w:asciiTheme="minorHAnsi" w:hAnsiTheme="minorHAnsi" w:cstheme="minorHAnsi"/>
                <w:sz w:val="20"/>
                <w:szCs w:val="20"/>
              </w:rPr>
            </w:pPr>
          </w:p>
        </w:tc>
      </w:tr>
      <w:tr w:rsidR="00055E3A" w:rsidRPr="00417097" w14:paraId="0FF43CA2" w14:textId="77777777" w:rsidTr="008F659A">
        <w:trPr>
          <w:trHeight w:val="265"/>
          <w:jc w:val="center"/>
        </w:trPr>
        <w:tc>
          <w:tcPr>
            <w:tcW w:w="2259" w:type="dxa"/>
            <w:tcBorders>
              <w:top w:val="single" w:sz="4" w:space="0" w:color="807F83"/>
              <w:bottom w:val="single" w:sz="4" w:space="0" w:color="807F83"/>
            </w:tcBorders>
          </w:tcPr>
          <w:p w14:paraId="126E441C"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2B379FA5" w14:textId="77777777" w:rsidR="00055E3A" w:rsidRPr="00417097" w:rsidRDefault="00055E3A" w:rsidP="008F659A">
            <w:pPr>
              <w:jc w:val="left"/>
              <w:rPr>
                <w:rFonts w:asciiTheme="minorHAnsi" w:hAnsiTheme="minorHAnsi" w:cstheme="minorHAnsi"/>
                <w:sz w:val="20"/>
                <w:szCs w:val="20"/>
              </w:rPr>
            </w:pPr>
          </w:p>
        </w:tc>
      </w:tr>
      <w:tr w:rsidR="00055E3A" w:rsidRPr="00417097" w14:paraId="718DD6BD" w14:textId="77777777" w:rsidTr="008F659A">
        <w:trPr>
          <w:trHeight w:val="265"/>
          <w:jc w:val="center"/>
        </w:trPr>
        <w:tc>
          <w:tcPr>
            <w:tcW w:w="2259" w:type="dxa"/>
            <w:tcBorders>
              <w:top w:val="single" w:sz="4" w:space="0" w:color="807F83"/>
              <w:bottom w:val="single" w:sz="4" w:space="0" w:color="807F83"/>
            </w:tcBorders>
          </w:tcPr>
          <w:p w14:paraId="27C6D577" w14:textId="77777777" w:rsidR="00055E3A" w:rsidRPr="00417097" w:rsidRDefault="00055E3A" w:rsidP="008F659A">
            <w:pPr>
              <w:jc w:val="center"/>
              <w:rPr>
                <w:rFonts w:asciiTheme="minorHAnsi" w:hAnsiTheme="minorHAnsi" w:cstheme="minorHAnsi"/>
                <w:b/>
                <w:sz w:val="20"/>
                <w:szCs w:val="20"/>
              </w:rPr>
            </w:pPr>
            <w:r w:rsidRPr="00417097">
              <w:rPr>
                <w:rFonts w:asciiTheme="minorHAnsi" w:hAnsiTheme="minorHAnsi" w:cstheme="minorHAnsi"/>
                <w:b/>
                <w:sz w:val="20"/>
                <w:szCs w:val="20"/>
              </w:rPr>
              <w:t>International Equity</w:t>
            </w:r>
          </w:p>
        </w:tc>
        <w:tc>
          <w:tcPr>
            <w:tcW w:w="7731" w:type="dxa"/>
            <w:tcBorders>
              <w:top w:val="single" w:sz="4" w:space="0" w:color="807F83"/>
              <w:bottom w:val="single" w:sz="4" w:space="0" w:color="807F83"/>
            </w:tcBorders>
          </w:tcPr>
          <w:p w14:paraId="11F7FC11" w14:textId="77777777" w:rsidR="00055E3A" w:rsidRPr="00417097" w:rsidRDefault="00055E3A" w:rsidP="008F659A">
            <w:pPr>
              <w:jc w:val="left"/>
              <w:rPr>
                <w:rFonts w:asciiTheme="minorHAnsi" w:hAnsiTheme="minorHAnsi" w:cstheme="minorHAnsi"/>
                <w:sz w:val="20"/>
                <w:szCs w:val="20"/>
              </w:rPr>
            </w:pPr>
          </w:p>
        </w:tc>
      </w:tr>
      <w:tr w:rsidR="00055E3A" w:rsidRPr="00417097" w14:paraId="6BD5CB9C" w14:textId="77777777" w:rsidTr="008F659A">
        <w:trPr>
          <w:trHeight w:val="265"/>
          <w:jc w:val="center"/>
        </w:trPr>
        <w:tc>
          <w:tcPr>
            <w:tcW w:w="2259" w:type="dxa"/>
            <w:tcBorders>
              <w:top w:val="single" w:sz="4" w:space="0" w:color="807F83"/>
              <w:bottom w:val="single" w:sz="4" w:space="0" w:color="807F83"/>
            </w:tcBorders>
          </w:tcPr>
          <w:p w14:paraId="69740433"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22D1F5F7" w14:textId="77777777" w:rsidR="00055E3A" w:rsidRPr="00417097" w:rsidRDefault="00055E3A" w:rsidP="008F659A">
            <w:pPr>
              <w:jc w:val="left"/>
              <w:rPr>
                <w:rFonts w:asciiTheme="minorHAnsi" w:hAnsiTheme="minorHAnsi" w:cstheme="minorHAnsi"/>
                <w:sz w:val="20"/>
                <w:szCs w:val="20"/>
              </w:rPr>
            </w:pPr>
          </w:p>
        </w:tc>
      </w:tr>
      <w:tr w:rsidR="00055E3A" w:rsidRPr="00417097" w14:paraId="0F2A4107" w14:textId="77777777" w:rsidTr="008F659A">
        <w:trPr>
          <w:trHeight w:val="265"/>
          <w:jc w:val="center"/>
        </w:trPr>
        <w:tc>
          <w:tcPr>
            <w:tcW w:w="2259" w:type="dxa"/>
            <w:tcBorders>
              <w:top w:val="single" w:sz="4" w:space="0" w:color="807F83"/>
              <w:bottom w:val="single" w:sz="4" w:space="0" w:color="807F83"/>
            </w:tcBorders>
          </w:tcPr>
          <w:p w14:paraId="03F1196F" w14:textId="77777777" w:rsidR="00055E3A" w:rsidRPr="00417097" w:rsidRDefault="00055E3A" w:rsidP="008F659A">
            <w:pPr>
              <w:jc w:val="center"/>
              <w:rPr>
                <w:rFonts w:asciiTheme="minorHAnsi" w:hAnsiTheme="minorHAnsi" w:cstheme="minorHAnsi"/>
                <w:b/>
                <w:sz w:val="20"/>
                <w:szCs w:val="20"/>
              </w:rPr>
            </w:pPr>
            <w:r w:rsidRPr="00417097">
              <w:rPr>
                <w:rFonts w:asciiTheme="minorHAnsi" w:hAnsiTheme="minorHAnsi" w:cstheme="minorHAnsi"/>
                <w:b/>
                <w:sz w:val="20"/>
                <w:szCs w:val="20"/>
              </w:rPr>
              <w:t>Global Equity</w:t>
            </w:r>
          </w:p>
        </w:tc>
        <w:tc>
          <w:tcPr>
            <w:tcW w:w="7731" w:type="dxa"/>
            <w:tcBorders>
              <w:top w:val="single" w:sz="4" w:space="0" w:color="807F83"/>
              <w:bottom w:val="single" w:sz="4" w:space="0" w:color="807F83"/>
            </w:tcBorders>
          </w:tcPr>
          <w:p w14:paraId="5369713E" w14:textId="77777777" w:rsidR="00055E3A" w:rsidRPr="00417097" w:rsidRDefault="00055E3A" w:rsidP="008F659A">
            <w:pPr>
              <w:jc w:val="left"/>
              <w:rPr>
                <w:rFonts w:asciiTheme="minorHAnsi" w:hAnsiTheme="minorHAnsi" w:cstheme="minorHAnsi"/>
                <w:sz w:val="20"/>
                <w:szCs w:val="20"/>
              </w:rPr>
            </w:pPr>
          </w:p>
        </w:tc>
      </w:tr>
      <w:tr w:rsidR="00055E3A" w:rsidRPr="00417097" w14:paraId="558554CB" w14:textId="77777777" w:rsidTr="008F659A">
        <w:trPr>
          <w:trHeight w:val="265"/>
          <w:jc w:val="center"/>
        </w:trPr>
        <w:tc>
          <w:tcPr>
            <w:tcW w:w="2259" w:type="dxa"/>
            <w:tcBorders>
              <w:top w:val="single" w:sz="4" w:space="0" w:color="807F83"/>
              <w:bottom w:val="single" w:sz="4" w:space="0" w:color="807F83"/>
            </w:tcBorders>
          </w:tcPr>
          <w:p w14:paraId="630D536D" w14:textId="77777777" w:rsidR="00055E3A" w:rsidRPr="00417097" w:rsidRDefault="00055E3A" w:rsidP="008F659A">
            <w:pPr>
              <w:jc w:val="center"/>
              <w:rPr>
                <w:rFonts w:asciiTheme="minorHAnsi" w:hAnsiTheme="minorHAnsi" w:cstheme="minorHAnsi"/>
                <w:b/>
                <w:sz w:val="20"/>
                <w:szCs w:val="20"/>
              </w:rPr>
            </w:pPr>
          </w:p>
        </w:tc>
        <w:tc>
          <w:tcPr>
            <w:tcW w:w="7731" w:type="dxa"/>
            <w:tcBorders>
              <w:top w:val="single" w:sz="4" w:space="0" w:color="807F83"/>
              <w:bottom w:val="single" w:sz="4" w:space="0" w:color="807F83"/>
            </w:tcBorders>
          </w:tcPr>
          <w:p w14:paraId="11466B0C" w14:textId="77777777" w:rsidR="00055E3A" w:rsidRPr="00417097" w:rsidRDefault="00055E3A" w:rsidP="008F659A">
            <w:pPr>
              <w:jc w:val="left"/>
              <w:rPr>
                <w:rFonts w:asciiTheme="minorHAnsi" w:hAnsiTheme="minorHAnsi" w:cstheme="minorHAnsi"/>
                <w:sz w:val="20"/>
                <w:szCs w:val="20"/>
              </w:rPr>
            </w:pPr>
          </w:p>
        </w:tc>
      </w:tr>
      <w:tr w:rsidR="00055E3A" w:rsidRPr="00417097" w14:paraId="2C4F4AB0" w14:textId="77777777" w:rsidTr="008F659A">
        <w:trPr>
          <w:trHeight w:val="265"/>
          <w:jc w:val="center"/>
        </w:trPr>
        <w:tc>
          <w:tcPr>
            <w:tcW w:w="2259" w:type="dxa"/>
            <w:tcBorders>
              <w:top w:val="single" w:sz="4" w:space="0" w:color="807F83"/>
            </w:tcBorders>
          </w:tcPr>
          <w:p w14:paraId="7712DABE" w14:textId="77777777" w:rsidR="00055E3A" w:rsidRPr="00417097" w:rsidRDefault="00055E3A" w:rsidP="008F659A">
            <w:pPr>
              <w:jc w:val="center"/>
              <w:rPr>
                <w:rFonts w:asciiTheme="minorHAnsi" w:hAnsiTheme="minorHAnsi" w:cstheme="minorHAnsi"/>
                <w:b/>
                <w:sz w:val="20"/>
                <w:szCs w:val="20"/>
              </w:rPr>
            </w:pPr>
            <w:r w:rsidRPr="00417097">
              <w:rPr>
                <w:rFonts w:asciiTheme="minorHAnsi" w:hAnsiTheme="minorHAnsi" w:cstheme="minorHAnsi"/>
                <w:b/>
                <w:sz w:val="20"/>
                <w:szCs w:val="20"/>
              </w:rPr>
              <w:t>Special Equity</w:t>
            </w:r>
          </w:p>
        </w:tc>
        <w:tc>
          <w:tcPr>
            <w:tcW w:w="7731" w:type="dxa"/>
            <w:tcBorders>
              <w:top w:val="single" w:sz="4" w:space="0" w:color="807F83"/>
            </w:tcBorders>
          </w:tcPr>
          <w:p w14:paraId="295E938D" w14:textId="77777777" w:rsidR="00055E3A" w:rsidRPr="00417097" w:rsidRDefault="00055E3A" w:rsidP="008F659A">
            <w:pPr>
              <w:jc w:val="left"/>
              <w:rPr>
                <w:rFonts w:asciiTheme="minorHAnsi" w:hAnsiTheme="minorHAnsi" w:cstheme="minorHAnsi"/>
                <w:sz w:val="20"/>
                <w:szCs w:val="20"/>
              </w:rPr>
            </w:pPr>
          </w:p>
        </w:tc>
      </w:tr>
    </w:tbl>
    <w:p w14:paraId="78F0F9D5" w14:textId="77777777" w:rsidR="00055E3A" w:rsidRPr="00417097" w:rsidRDefault="00055E3A" w:rsidP="00055E3A">
      <w:pPr>
        <w:jc w:val="center"/>
        <w:rPr>
          <w:rFonts w:asciiTheme="minorHAnsi" w:hAnsiTheme="minorHAnsi" w:cstheme="minorHAnsi"/>
          <w:b/>
          <w:sz w:val="20"/>
          <w:szCs w:val="20"/>
        </w:rPr>
      </w:pPr>
    </w:p>
    <w:p w14:paraId="4FAD4D8C" w14:textId="77777777" w:rsidR="00055E3A" w:rsidRPr="00417097" w:rsidRDefault="00055E3A" w:rsidP="00055E3A">
      <w:pPr>
        <w:jc w:val="left"/>
        <w:rPr>
          <w:rFonts w:asciiTheme="minorHAnsi" w:hAnsiTheme="minorHAnsi" w:cstheme="minorHAnsi"/>
          <w:szCs w:val="22"/>
        </w:rPr>
      </w:pPr>
    </w:p>
    <w:p w14:paraId="4684E6B9" w14:textId="77777777" w:rsidR="00055E3A" w:rsidRPr="00417097" w:rsidRDefault="00055E3A" w:rsidP="00055E3A">
      <w:pPr>
        <w:spacing w:line="276" w:lineRule="auto"/>
        <w:jc w:val="center"/>
        <w:rPr>
          <w:rFonts w:asciiTheme="minorHAnsi" w:hAnsiTheme="minorHAnsi" w:cstheme="minorHAnsi"/>
          <w:szCs w:val="22"/>
        </w:rPr>
      </w:pPr>
    </w:p>
    <w:p w14:paraId="73943280" w14:textId="77777777" w:rsidR="00055E3A" w:rsidRPr="00417097" w:rsidRDefault="00055E3A" w:rsidP="00055E3A">
      <w:pPr>
        <w:jc w:val="left"/>
        <w:rPr>
          <w:rFonts w:asciiTheme="minorHAnsi" w:hAnsiTheme="minorHAnsi" w:cstheme="minorHAnsi"/>
          <w:b/>
          <w:caps/>
          <w:kern w:val="28"/>
          <w:sz w:val="28"/>
        </w:rPr>
      </w:pPr>
      <w:r w:rsidRPr="00417097">
        <w:rPr>
          <w:rFonts w:asciiTheme="minorHAnsi" w:hAnsiTheme="minorHAnsi" w:cstheme="minorHAnsi"/>
          <w:i/>
          <w:caps/>
        </w:rPr>
        <w:br w:type="page"/>
      </w:r>
    </w:p>
    <w:p w14:paraId="17625CE7" w14:textId="77777777" w:rsidR="00055E3A" w:rsidRPr="00417097" w:rsidRDefault="00055E3A" w:rsidP="00055E3A">
      <w:pPr>
        <w:pStyle w:val="Heading1"/>
        <w:rPr>
          <w:rFonts w:asciiTheme="minorHAnsi" w:hAnsiTheme="minorHAnsi" w:cstheme="minorHAnsi"/>
          <w:i w:val="0"/>
          <w:caps/>
        </w:rPr>
      </w:pPr>
      <w:bookmarkStart w:id="224" w:name="_Toc484506922"/>
      <w:r w:rsidRPr="00417097">
        <w:rPr>
          <w:rFonts w:asciiTheme="minorHAnsi" w:hAnsiTheme="minorHAnsi" w:cstheme="minorHAnsi"/>
          <w:i w:val="0"/>
          <w:caps/>
        </w:rPr>
        <w:lastRenderedPageBreak/>
        <w:t>The Benefits Alliance Group</w:t>
      </w:r>
      <w:bookmarkEnd w:id="224"/>
    </w:p>
    <w:p w14:paraId="3392BBE5" w14:textId="77777777" w:rsidR="00055E3A" w:rsidRPr="00417097" w:rsidRDefault="00055E3A" w:rsidP="00055E3A">
      <w:pPr>
        <w:rPr>
          <w:rFonts w:asciiTheme="minorHAnsi" w:hAnsiTheme="minorHAnsi" w:cstheme="minorHAnsi"/>
        </w:rPr>
      </w:pPr>
    </w:p>
    <w:p w14:paraId="1F3F1FF4" w14:textId="77777777" w:rsidR="00055E3A" w:rsidRPr="00417097" w:rsidRDefault="00055E3A" w:rsidP="00055E3A">
      <w:pPr>
        <w:shd w:val="clear" w:color="auto" w:fill="FFFFFF"/>
        <w:spacing w:line="225" w:lineRule="atLeast"/>
        <w:textAlignment w:val="baseline"/>
        <w:rPr>
          <w:rFonts w:asciiTheme="minorHAnsi" w:hAnsiTheme="minorHAnsi" w:cstheme="minorHAnsi"/>
          <w:color w:val="000000"/>
          <w:sz w:val="20"/>
          <w:szCs w:val="20"/>
          <w:lang w:val="en-CA" w:eastAsia="en-CA"/>
        </w:rPr>
      </w:pPr>
    </w:p>
    <w:p w14:paraId="53B98C5C" w14:textId="7A5B51C9" w:rsidR="00055E3A" w:rsidRPr="00417097" w:rsidRDefault="00055E3A" w:rsidP="00554806">
      <w:pPr>
        <w:shd w:val="clear" w:color="auto" w:fill="FFFFFF"/>
        <w:spacing w:line="276" w:lineRule="auto"/>
        <w:ind w:left="142"/>
        <w:textAlignment w:val="baseline"/>
        <w:rPr>
          <w:rFonts w:asciiTheme="minorHAnsi" w:hAnsiTheme="minorHAnsi" w:cstheme="minorHAnsi"/>
          <w:color w:val="000000"/>
          <w:sz w:val="20"/>
          <w:szCs w:val="20"/>
          <w:lang w:val="en-CA" w:eastAsia="en-CA"/>
        </w:rPr>
      </w:pPr>
      <w:r w:rsidRPr="000918A2">
        <w:rPr>
          <w:rFonts w:asciiTheme="minorHAnsi" w:hAnsiTheme="minorHAnsi" w:cstheme="minorHAnsi"/>
          <w:sz w:val="20"/>
          <w:szCs w:val="20"/>
          <w:highlight w:val="yellow"/>
          <w:lang w:val="en-CA" w:eastAsia="en-CA"/>
        </w:rPr>
        <w:t>Firm Name</w:t>
      </w:r>
      <w:r w:rsidRPr="000918A2">
        <w:rPr>
          <w:rFonts w:asciiTheme="minorHAnsi" w:hAnsiTheme="minorHAnsi" w:cstheme="minorHAnsi"/>
          <w:sz w:val="20"/>
          <w:szCs w:val="20"/>
          <w:lang w:val="en-CA" w:eastAsia="en-CA"/>
        </w:rPr>
        <w:t xml:space="preserve"> </w:t>
      </w:r>
      <w:r w:rsidRPr="00417097">
        <w:rPr>
          <w:rFonts w:asciiTheme="minorHAnsi" w:hAnsiTheme="minorHAnsi" w:cstheme="minorHAnsi"/>
          <w:color w:val="000000"/>
          <w:sz w:val="20"/>
          <w:szCs w:val="20"/>
          <w:lang w:val="en-CA" w:eastAsia="en-CA"/>
        </w:rPr>
        <w:t>is a shareholder in the Benefits Alliance Group (BA). The BA brings the collective expertise and influence of member consulting firms to provide the best possible group insurance and group retirement program design and management. This organization enables each member firm to deliver superior value through combined market intelligence and the collective support and strength associated with membership.</w:t>
      </w:r>
    </w:p>
    <w:p w14:paraId="104A9285" w14:textId="77777777" w:rsidR="00055E3A" w:rsidRPr="00417097" w:rsidRDefault="00055E3A" w:rsidP="00554806">
      <w:pPr>
        <w:shd w:val="clear" w:color="auto" w:fill="FFFFFF"/>
        <w:spacing w:after="150" w:line="276" w:lineRule="auto"/>
        <w:ind w:left="142"/>
        <w:textAlignment w:val="baseline"/>
        <w:rPr>
          <w:rFonts w:asciiTheme="minorHAnsi" w:hAnsiTheme="minorHAnsi" w:cstheme="minorHAnsi"/>
          <w:color w:val="000000"/>
          <w:sz w:val="20"/>
          <w:szCs w:val="20"/>
          <w:lang w:val="en-CA" w:eastAsia="en-CA"/>
        </w:rPr>
      </w:pPr>
    </w:p>
    <w:p w14:paraId="17E3BDC7" w14:textId="77777777" w:rsidR="00055E3A" w:rsidRPr="00417097" w:rsidRDefault="00055E3A" w:rsidP="00554806">
      <w:pPr>
        <w:shd w:val="clear" w:color="auto" w:fill="FFFFFF"/>
        <w:spacing w:after="150" w:line="276" w:lineRule="auto"/>
        <w:ind w:left="142"/>
        <w:textAlignment w:val="baseline"/>
        <w:rPr>
          <w:rFonts w:asciiTheme="minorHAnsi" w:hAnsiTheme="minorHAnsi" w:cstheme="minorHAnsi"/>
          <w:color w:val="000000"/>
          <w:sz w:val="20"/>
          <w:szCs w:val="20"/>
          <w:lang w:val="en-CA" w:eastAsia="en-CA"/>
        </w:rPr>
      </w:pPr>
      <w:r w:rsidRPr="00417097">
        <w:rPr>
          <w:rFonts w:asciiTheme="minorHAnsi" w:hAnsiTheme="minorHAnsi" w:cstheme="minorHAnsi"/>
          <w:color w:val="000000"/>
          <w:sz w:val="20"/>
          <w:szCs w:val="20"/>
          <w:lang w:val="en-CA" w:eastAsia="en-CA"/>
        </w:rPr>
        <w:t>BA’s 37 member firms and more than 80 advisors manage approximately $350 million in group insurance premiums and over $3 billion in retirement plan assets on behalf of over 4,000 employers across North America.  BA’s scope ensures member clients receive the best advice at the best price.</w:t>
      </w:r>
    </w:p>
    <w:p w14:paraId="16F43D62" w14:textId="77777777" w:rsidR="00055E3A" w:rsidRPr="00417097" w:rsidRDefault="00055E3A" w:rsidP="00554806">
      <w:pPr>
        <w:shd w:val="clear" w:color="auto" w:fill="FFFFFF"/>
        <w:spacing w:after="150" w:line="276" w:lineRule="auto"/>
        <w:ind w:left="142"/>
        <w:textAlignment w:val="baseline"/>
        <w:rPr>
          <w:rFonts w:asciiTheme="minorHAnsi" w:hAnsiTheme="minorHAnsi" w:cstheme="minorHAnsi"/>
          <w:color w:val="000000"/>
          <w:sz w:val="20"/>
          <w:szCs w:val="20"/>
          <w:lang w:val="en-CA" w:eastAsia="en-CA"/>
        </w:rPr>
      </w:pPr>
      <w:r w:rsidRPr="00417097">
        <w:rPr>
          <w:rFonts w:asciiTheme="minorHAnsi" w:hAnsiTheme="minorHAnsi" w:cstheme="minorHAnsi"/>
          <w:color w:val="000000"/>
          <w:sz w:val="20"/>
          <w:szCs w:val="20"/>
          <w:lang w:val="en-CA" w:eastAsia="en-CA"/>
        </w:rPr>
        <w:t>Since 1993, significant changes in the insurance have industry resulted in fewer alternative providers, with three companies controlling over 75% of the marketplace.  Insurers have narrowed their market sources requiring brokers to limit their recommendations based on their access to insurance providers and creating more complex alternatives for employers. The need for qualified, expert advice is greater than ever.</w:t>
      </w:r>
    </w:p>
    <w:p w14:paraId="1D3C72C5" w14:textId="75DC94C1" w:rsidR="009F7A2B" w:rsidRPr="00417097" w:rsidRDefault="0081105E">
      <w:pPr>
        <w:rPr>
          <w:rFonts w:asciiTheme="minorHAnsi" w:hAnsiTheme="minorHAnsi" w:cstheme="minorHAnsi"/>
        </w:rPr>
      </w:pPr>
      <w:r w:rsidRPr="00417097">
        <w:rPr>
          <w:rFonts w:asciiTheme="minorHAnsi" w:hAnsiTheme="minorHAnsi" w:cstheme="minorHAnsi"/>
          <w:noProof/>
        </w:rPr>
        <w:drawing>
          <wp:inline distT="0" distB="0" distL="0" distR="0" wp14:anchorId="6E78EEB3" wp14:editId="306A3BD2">
            <wp:extent cx="3132091" cy="165368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32091" cy="1653683"/>
                    </a:xfrm>
                    <a:prstGeom prst="rect">
                      <a:avLst/>
                    </a:prstGeom>
                  </pic:spPr>
                </pic:pic>
              </a:graphicData>
            </a:graphic>
          </wp:inline>
        </w:drawing>
      </w:r>
      <w:r w:rsidRPr="00417097">
        <w:rPr>
          <w:rFonts w:asciiTheme="minorHAnsi" w:hAnsiTheme="minorHAnsi" w:cstheme="minorHAnsi"/>
          <w:noProof/>
        </w:rPr>
        <w:drawing>
          <wp:inline distT="0" distB="0" distL="0" distR="0" wp14:anchorId="2A439977" wp14:editId="7E632CB0">
            <wp:extent cx="3414056" cy="54868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14056" cy="548688"/>
                    </a:xfrm>
                    <a:prstGeom prst="rect">
                      <a:avLst/>
                    </a:prstGeom>
                  </pic:spPr>
                </pic:pic>
              </a:graphicData>
            </a:graphic>
          </wp:inline>
        </w:drawing>
      </w:r>
    </w:p>
    <w:sectPr w:rsidR="009F7A2B" w:rsidRPr="00417097" w:rsidSect="00055E3A">
      <w:pgSz w:w="12240" w:h="15840"/>
      <w:pgMar w:top="993" w:right="1440" w:bottom="851"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83FEC" w14:textId="77777777" w:rsidR="00055E3A" w:rsidRDefault="00055E3A" w:rsidP="00055E3A">
      <w:r>
        <w:separator/>
      </w:r>
    </w:p>
  </w:endnote>
  <w:endnote w:type="continuationSeparator" w:id="0">
    <w:p w14:paraId="657C223D" w14:textId="77777777" w:rsidR="00055E3A" w:rsidRDefault="00055E3A" w:rsidP="0005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44D7" w14:textId="77777777" w:rsidR="00D02DC2" w:rsidRDefault="00417097" w:rsidP="00674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6D1195B0" w14:textId="77777777" w:rsidR="00D02DC2" w:rsidRDefault="00F055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062121"/>
      <w:docPartObj>
        <w:docPartGallery w:val="Page Numbers (Bottom of Page)"/>
        <w:docPartUnique/>
      </w:docPartObj>
    </w:sdtPr>
    <w:sdtEndPr>
      <w:rPr>
        <w:rFonts w:asciiTheme="minorHAnsi" w:hAnsiTheme="minorHAnsi" w:cstheme="minorHAnsi"/>
        <w:noProof/>
        <w:sz w:val="20"/>
        <w:szCs w:val="20"/>
      </w:rPr>
    </w:sdtEndPr>
    <w:sdtContent>
      <w:p w14:paraId="47E3EB48" w14:textId="025C2C12" w:rsidR="00DC126E" w:rsidRPr="00DC126E" w:rsidRDefault="00DC126E">
        <w:pPr>
          <w:pStyle w:val="Footer"/>
          <w:jc w:val="right"/>
          <w:rPr>
            <w:rFonts w:asciiTheme="minorHAnsi" w:hAnsiTheme="minorHAnsi" w:cstheme="minorHAnsi"/>
            <w:sz w:val="20"/>
            <w:szCs w:val="20"/>
          </w:rPr>
        </w:pPr>
        <w:r w:rsidRPr="00DC126E">
          <w:rPr>
            <w:rFonts w:asciiTheme="minorHAnsi" w:hAnsiTheme="minorHAnsi" w:cstheme="minorHAnsi"/>
            <w:sz w:val="20"/>
            <w:szCs w:val="20"/>
          </w:rPr>
          <w:fldChar w:fldCharType="begin"/>
        </w:r>
        <w:r w:rsidRPr="00DC126E">
          <w:rPr>
            <w:rFonts w:asciiTheme="minorHAnsi" w:hAnsiTheme="minorHAnsi" w:cstheme="minorHAnsi"/>
            <w:sz w:val="20"/>
            <w:szCs w:val="20"/>
          </w:rPr>
          <w:instrText xml:space="preserve"> PAGE   \* MERGEFORMAT </w:instrText>
        </w:r>
        <w:r w:rsidRPr="00DC126E">
          <w:rPr>
            <w:rFonts w:asciiTheme="minorHAnsi" w:hAnsiTheme="minorHAnsi" w:cstheme="minorHAnsi"/>
            <w:sz w:val="20"/>
            <w:szCs w:val="20"/>
          </w:rPr>
          <w:fldChar w:fldCharType="separate"/>
        </w:r>
        <w:r w:rsidRPr="00DC126E">
          <w:rPr>
            <w:rFonts w:asciiTheme="minorHAnsi" w:hAnsiTheme="minorHAnsi" w:cstheme="minorHAnsi"/>
            <w:noProof/>
            <w:sz w:val="20"/>
            <w:szCs w:val="20"/>
          </w:rPr>
          <w:t>2</w:t>
        </w:r>
        <w:r w:rsidRPr="00DC126E">
          <w:rPr>
            <w:rFonts w:asciiTheme="minorHAnsi" w:hAnsiTheme="minorHAnsi" w:cstheme="minorHAnsi"/>
            <w:noProof/>
            <w:sz w:val="20"/>
            <w:szCs w:val="20"/>
          </w:rPr>
          <w:fldChar w:fldCharType="end"/>
        </w:r>
      </w:p>
    </w:sdtContent>
  </w:sdt>
  <w:p w14:paraId="373A1CC0" w14:textId="77777777" w:rsidR="00D02DC2" w:rsidRDefault="00F055A9" w:rsidP="00C3368D">
    <w:pPr>
      <w:pStyle w:val="Footer"/>
      <w:ind w:right="36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55FD" w14:textId="660EF610" w:rsidR="00D02DC2" w:rsidRPr="00CC2638" w:rsidRDefault="00417097" w:rsidP="0064773E">
    <w:pPr>
      <w:tabs>
        <w:tab w:val="right" w:pos="9972"/>
      </w:tabs>
      <w:jc w:val="left"/>
    </w:pPr>
    <w:r>
      <w:rPr>
        <w:noProof/>
      </w:rPr>
      <w:drawing>
        <wp:anchor distT="0" distB="0" distL="114300" distR="114300" simplePos="0" relativeHeight="251662336" behindDoc="1" locked="0" layoutInCell="1" allowOverlap="1" wp14:anchorId="471B0916" wp14:editId="6702A9CA">
          <wp:simplePos x="0" y="0"/>
          <wp:positionH relativeFrom="column">
            <wp:posOffset>446405</wp:posOffset>
          </wp:positionH>
          <wp:positionV relativeFrom="paragraph">
            <wp:posOffset>9112885</wp:posOffset>
          </wp:positionV>
          <wp:extent cx="6624320" cy="477520"/>
          <wp:effectExtent l="25400" t="0" r="5080" b="0"/>
          <wp:wrapNone/>
          <wp:docPr id="1037" name="Picture 1037" descr="cov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ver_footer"/>
                  <pic:cNvPicPr>
                    <a:picLocks noChangeAspect="1" noChangeArrowheads="1"/>
                  </pic:cNvPicPr>
                </pic:nvPicPr>
                <pic:blipFill>
                  <a:blip r:embed="rId1"/>
                  <a:srcRect/>
                  <a:stretch>
                    <a:fillRect/>
                  </a:stretch>
                </pic:blipFill>
                <pic:spPr bwMode="auto">
                  <a:xfrm>
                    <a:off x="0" y="0"/>
                    <a:ext cx="6624320" cy="47752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5752F472" wp14:editId="24789A26">
          <wp:simplePos x="0" y="0"/>
          <wp:positionH relativeFrom="column">
            <wp:posOffset>464185</wp:posOffset>
          </wp:positionH>
          <wp:positionV relativeFrom="paragraph">
            <wp:posOffset>8961755</wp:posOffset>
          </wp:positionV>
          <wp:extent cx="6625590" cy="478155"/>
          <wp:effectExtent l="25400" t="0" r="3810" b="0"/>
          <wp:wrapNone/>
          <wp:docPr id="1038" name="Picture 1038" descr="cov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ver_footer"/>
                  <pic:cNvPicPr>
                    <a:picLocks noChangeAspect="1" noChangeArrowheads="1"/>
                  </pic:cNvPicPr>
                </pic:nvPicPr>
                <pic:blipFill>
                  <a:blip r:embed="rId1"/>
                  <a:srcRect/>
                  <a:stretch>
                    <a:fillRect/>
                  </a:stretch>
                </pic:blipFill>
                <pic:spPr bwMode="auto">
                  <a:xfrm>
                    <a:off x="0" y="0"/>
                    <a:ext cx="6625590" cy="47815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41BE6A63" wp14:editId="410435DA">
          <wp:simplePos x="0" y="0"/>
          <wp:positionH relativeFrom="column">
            <wp:posOffset>464185</wp:posOffset>
          </wp:positionH>
          <wp:positionV relativeFrom="paragraph">
            <wp:posOffset>9130665</wp:posOffset>
          </wp:positionV>
          <wp:extent cx="6625590" cy="478155"/>
          <wp:effectExtent l="25400" t="0" r="3810" b="0"/>
          <wp:wrapNone/>
          <wp:docPr id="1039" name="Picture 1039" descr="cov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ver_footer"/>
                  <pic:cNvPicPr>
                    <a:picLocks noChangeAspect="1" noChangeArrowheads="1"/>
                  </pic:cNvPicPr>
                </pic:nvPicPr>
                <pic:blipFill>
                  <a:blip r:embed="rId1"/>
                  <a:srcRect/>
                  <a:stretch>
                    <a:fillRect/>
                  </a:stretch>
                </pic:blipFill>
                <pic:spPr bwMode="auto">
                  <a:xfrm>
                    <a:off x="0" y="0"/>
                    <a:ext cx="6625590" cy="478155"/>
                  </a:xfrm>
                  <a:prstGeom prst="rect">
                    <a:avLst/>
                  </a:prstGeom>
                  <a:noFill/>
                  <a:ln w="9525">
                    <a:noFill/>
                    <a:miter lim="800000"/>
                    <a:headEnd/>
                    <a:tailEnd/>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2570E" w14:textId="77777777" w:rsidR="00055E3A" w:rsidRDefault="00055E3A" w:rsidP="00055E3A">
      <w:r>
        <w:separator/>
      </w:r>
    </w:p>
  </w:footnote>
  <w:footnote w:type="continuationSeparator" w:id="0">
    <w:p w14:paraId="2395314E" w14:textId="77777777" w:rsidR="00055E3A" w:rsidRDefault="00055E3A" w:rsidP="0005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270E6" w14:textId="77777777" w:rsidR="00D02DC2" w:rsidRPr="00CC6725" w:rsidRDefault="00F055A9" w:rsidP="00674631">
    <w:pPr>
      <w:pStyle w:val="Footer"/>
      <w:tabs>
        <w:tab w:val="clear" w:pos="4320"/>
        <w:tab w:val="clear" w:pos="8640"/>
      </w:tabs>
      <w:ind w:left="-709" w:right="-1028" w:firstLine="709"/>
      <w:jc w:val="left"/>
      <w:rPr>
        <w:rFonts w:cs="Arial"/>
        <w:b/>
        <w:color w:val="38939B"/>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494F6" w14:textId="6070185D" w:rsidR="00D02DC2" w:rsidRDefault="00F055A9" w:rsidP="00C336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76D26"/>
    <w:multiLevelType w:val="hybridMultilevel"/>
    <w:tmpl w:val="4A5ABDEE"/>
    <w:lvl w:ilvl="0" w:tplc="42727078">
      <w:start w:val="1"/>
      <w:numFmt w:val="bullet"/>
      <w:lvlText w:val=""/>
      <w:lvlJc w:val="left"/>
      <w:pPr>
        <w:ind w:left="720" w:hanging="360"/>
      </w:pPr>
      <w:rPr>
        <w:rFonts w:ascii="Symbol" w:hAnsi="Symbol" w:hint="default"/>
        <w:color w:val="807F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02FFD"/>
    <w:multiLevelType w:val="hybridMultilevel"/>
    <w:tmpl w:val="604EECA4"/>
    <w:lvl w:ilvl="0" w:tplc="42727078">
      <w:start w:val="1"/>
      <w:numFmt w:val="bullet"/>
      <w:lvlText w:val=""/>
      <w:lvlJc w:val="left"/>
      <w:pPr>
        <w:ind w:left="720" w:hanging="360"/>
      </w:pPr>
      <w:rPr>
        <w:rFonts w:ascii="Symbol" w:hAnsi="Symbol" w:hint="default"/>
        <w:color w:val="807F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C2A82"/>
    <w:multiLevelType w:val="hybridMultilevel"/>
    <w:tmpl w:val="FED020F2"/>
    <w:lvl w:ilvl="0" w:tplc="42727078">
      <w:start w:val="1"/>
      <w:numFmt w:val="bullet"/>
      <w:lvlText w:val=""/>
      <w:lvlJc w:val="left"/>
      <w:pPr>
        <w:ind w:left="1080" w:hanging="360"/>
      </w:pPr>
      <w:rPr>
        <w:rFonts w:ascii="Symbol" w:hAnsi="Symbol" w:hint="default"/>
        <w:color w:val="807F8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3A"/>
    <w:rsid w:val="00055E3A"/>
    <w:rsid w:val="000918A2"/>
    <w:rsid w:val="000D615E"/>
    <w:rsid w:val="00146250"/>
    <w:rsid w:val="002617B4"/>
    <w:rsid w:val="00417097"/>
    <w:rsid w:val="004C0D8C"/>
    <w:rsid w:val="004D3063"/>
    <w:rsid w:val="00554806"/>
    <w:rsid w:val="006C06FF"/>
    <w:rsid w:val="0081105E"/>
    <w:rsid w:val="009F7A2B"/>
    <w:rsid w:val="00B24184"/>
    <w:rsid w:val="00DC126E"/>
    <w:rsid w:val="00E33364"/>
    <w:rsid w:val="00F055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1672A"/>
  <w15:chartTrackingRefBased/>
  <w15:docId w15:val="{B902FA2C-4137-4BAA-82B2-D92E67D0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E3A"/>
    <w:pPr>
      <w:spacing w:after="0" w:line="240" w:lineRule="auto"/>
      <w:jc w:val="both"/>
    </w:pPr>
    <w:rPr>
      <w:rFonts w:ascii="Arial" w:eastAsia="Times New Roman" w:hAnsi="Arial" w:cs="Times New Roman"/>
      <w:szCs w:val="24"/>
      <w:lang w:val="en-US"/>
    </w:rPr>
  </w:style>
  <w:style w:type="paragraph" w:styleId="Heading1">
    <w:name w:val="heading 1"/>
    <w:basedOn w:val="Normal"/>
    <w:next w:val="Normal"/>
    <w:link w:val="Heading1Char"/>
    <w:qFormat/>
    <w:rsid w:val="00055E3A"/>
    <w:pPr>
      <w:keepNext/>
      <w:spacing w:before="240" w:after="60"/>
      <w:outlineLvl w:val="0"/>
    </w:pPr>
    <w:rPr>
      <w:b/>
      <w:i/>
      <w:kern w:val="28"/>
      <w:sz w:val="28"/>
    </w:rPr>
  </w:style>
  <w:style w:type="paragraph" w:styleId="Heading2">
    <w:name w:val="heading 2"/>
    <w:basedOn w:val="Normal"/>
    <w:next w:val="Normal"/>
    <w:link w:val="Heading2Char"/>
    <w:qFormat/>
    <w:rsid w:val="00055E3A"/>
    <w:pPr>
      <w:keepNext/>
      <w:spacing w:before="240" w:after="60"/>
      <w:outlineLvl w:val="1"/>
    </w:pPr>
    <w:rPr>
      <w:b/>
      <w:i/>
    </w:rPr>
  </w:style>
  <w:style w:type="paragraph" w:styleId="Heading7">
    <w:name w:val="heading 7"/>
    <w:basedOn w:val="Normal"/>
    <w:next w:val="Normal"/>
    <w:link w:val="Heading7Char"/>
    <w:qFormat/>
    <w:rsid w:val="00055E3A"/>
    <w:pPr>
      <w:keepNext/>
      <w:jc w:val="center"/>
      <w:outlineLvl w:val="6"/>
    </w:pPr>
    <w:rPr>
      <w:b/>
      <w:i/>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E3A"/>
    <w:rPr>
      <w:rFonts w:ascii="Arial" w:eastAsia="Times New Roman" w:hAnsi="Arial" w:cs="Times New Roman"/>
      <w:b/>
      <w:i/>
      <w:kern w:val="28"/>
      <w:sz w:val="28"/>
      <w:szCs w:val="24"/>
      <w:lang w:val="en-US"/>
    </w:rPr>
  </w:style>
  <w:style w:type="character" w:customStyle="1" w:styleId="Heading2Char">
    <w:name w:val="Heading 2 Char"/>
    <w:basedOn w:val="DefaultParagraphFont"/>
    <w:link w:val="Heading2"/>
    <w:rsid w:val="00055E3A"/>
    <w:rPr>
      <w:rFonts w:ascii="Arial" w:eastAsia="Times New Roman" w:hAnsi="Arial" w:cs="Times New Roman"/>
      <w:b/>
      <w:i/>
      <w:szCs w:val="24"/>
      <w:lang w:val="en-US"/>
    </w:rPr>
  </w:style>
  <w:style w:type="character" w:customStyle="1" w:styleId="Heading7Char">
    <w:name w:val="Heading 7 Char"/>
    <w:basedOn w:val="DefaultParagraphFont"/>
    <w:link w:val="Heading7"/>
    <w:rsid w:val="00055E3A"/>
    <w:rPr>
      <w:rFonts w:ascii="Arial" w:eastAsia="Times New Roman" w:hAnsi="Arial" w:cs="Times New Roman"/>
      <w:b/>
      <w:i/>
      <w:snapToGrid w:val="0"/>
      <w:color w:val="000000"/>
      <w:szCs w:val="24"/>
      <w:lang w:val="en-US"/>
    </w:rPr>
  </w:style>
  <w:style w:type="paragraph" w:styleId="TOC1">
    <w:name w:val="toc 1"/>
    <w:basedOn w:val="Normal"/>
    <w:next w:val="Normal"/>
    <w:autoRedefine/>
    <w:uiPriority w:val="39"/>
    <w:rsid w:val="00055E3A"/>
    <w:pPr>
      <w:spacing w:before="120" w:after="120"/>
      <w:jc w:val="left"/>
    </w:pPr>
    <w:rPr>
      <w:b/>
      <w:caps/>
      <w:sz w:val="20"/>
    </w:rPr>
  </w:style>
  <w:style w:type="paragraph" w:styleId="TOC2">
    <w:name w:val="toc 2"/>
    <w:basedOn w:val="Normal"/>
    <w:next w:val="Normal"/>
    <w:autoRedefine/>
    <w:uiPriority w:val="39"/>
    <w:rsid w:val="00055E3A"/>
    <w:pPr>
      <w:ind w:left="220"/>
      <w:jc w:val="left"/>
    </w:pPr>
    <w:rPr>
      <w:smallCaps/>
      <w:sz w:val="20"/>
    </w:rPr>
  </w:style>
  <w:style w:type="paragraph" w:styleId="Header">
    <w:name w:val="header"/>
    <w:basedOn w:val="Normal"/>
    <w:link w:val="HeaderChar"/>
    <w:uiPriority w:val="99"/>
    <w:rsid w:val="00055E3A"/>
    <w:pPr>
      <w:tabs>
        <w:tab w:val="center" w:pos="4320"/>
        <w:tab w:val="right" w:pos="8640"/>
      </w:tabs>
    </w:pPr>
  </w:style>
  <w:style w:type="character" w:customStyle="1" w:styleId="HeaderChar">
    <w:name w:val="Header Char"/>
    <w:basedOn w:val="DefaultParagraphFont"/>
    <w:link w:val="Header"/>
    <w:uiPriority w:val="99"/>
    <w:rsid w:val="00055E3A"/>
    <w:rPr>
      <w:rFonts w:ascii="Arial" w:eastAsia="Times New Roman" w:hAnsi="Arial" w:cs="Times New Roman"/>
      <w:szCs w:val="24"/>
      <w:lang w:val="en-US"/>
    </w:rPr>
  </w:style>
  <w:style w:type="paragraph" w:styleId="Footer">
    <w:name w:val="footer"/>
    <w:basedOn w:val="Normal"/>
    <w:link w:val="FooterChar"/>
    <w:uiPriority w:val="99"/>
    <w:rsid w:val="00055E3A"/>
    <w:pPr>
      <w:tabs>
        <w:tab w:val="center" w:pos="4320"/>
        <w:tab w:val="right" w:pos="8640"/>
      </w:tabs>
    </w:pPr>
  </w:style>
  <w:style w:type="character" w:customStyle="1" w:styleId="FooterChar">
    <w:name w:val="Footer Char"/>
    <w:basedOn w:val="DefaultParagraphFont"/>
    <w:link w:val="Footer"/>
    <w:uiPriority w:val="99"/>
    <w:rsid w:val="00055E3A"/>
    <w:rPr>
      <w:rFonts w:ascii="Arial" w:eastAsia="Times New Roman" w:hAnsi="Arial" w:cs="Times New Roman"/>
      <w:szCs w:val="24"/>
      <w:lang w:val="en-US"/>
    </w:rPr>
  </w:style>
  <w:style w:type="character" w:styleId="PageNumber">
    <w:name w:val="page number"/>
    <w:basedOn w:val="DefaultParagraphFont"/>
    <w:rsid w:val="00055E3A"/>
  </w:style>
  <w:style w:type="paragraph" w:styleId="BodyText">
    <w:name w:val="Body Text"/>
    <w:basedOn w:val="Normal"/>
    <w:link w:val="BodyTextChar"/>
    <w:rsid w:val="00055E3A"/>
    <w:pPr>
      <w:jc w:val="left"/>
    </w:pPr>
    <w:rPr>
      <w:b/>
    </w:rPr>
  </w:style>
  <w:style w:type="character" w:customStyle="1" w:styleId="BodyTextChar">
    <w:name w:val="Body Text Char"/>
    <w:basedOn w:val="DefaultParagraphFont"/>
    <w:link w:val="BodyText"/>
    <w:rsid w:val="00055E3A"/>
    <w:rPr>
      <w:rFonts w:ascii="Arial" w:eastAsia="Times New Roman" w:hAnsi="Arial" w:cs="Times New Roman"/>
      <w:b/>
      <w:szCs w:val="24"/>
      <w:lang w:val="en-US"/>
    </w:rPr>
  </w:style>
  <w:style w:type="character" w:styleId="Hyperlink">
    <w:name w:val="Hyperlink"/>
    <w:uiPriority w:val="99"/>
    <w:rsid w:val="00055E3A"/>
    <w:rPr>
      <w:color w:val="0000FF"/>
      <w:u w:val="single"/>
    </w:rPr>
  </w:style>
  <w:style w:type="paragraph" w:styleId="ListParagraph">
    <w:name w:val="List Paragraph"/>
    <w:basedOn w:val="Normal"/>
    <w:uiPriority w:val="34"/>
    <w:qFormat/>
    <w:rsid w:val="00055E3A"/>
    <w:pPr>
      <w:ind w:left="720"/>
    </w:pPr>
  </w:style>
  <w:style w:type="table" w:styleId="TableGrid">
    <w:name w:val="Table Grid"/>
    <w:basedOn w:val="TableNormal"/>
    <w:uiPriority w:val="59"/>
    <w:rsid w:val="00055E3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TexteSection">
    <w:name w:val="IA Texte Section"/>
    <w:qFormat/>
    <w:rsid w:val="00055E3A"/>
    <w:pPr>
      <w:spacing w:before="200" w:after="200" w:line="276" w:lineRule="auto"/>
      <w:jc w:val="both"/>
    </w:pPr>
    <w:rPr>
      <w:rFonts w:ascii="Times New Roman" w:eastAsia="Calibri" w:hAnsi="Times New Roman" w:cs="Times New Roman"/>
      <w:szCs w:val="20"/>
    </w:rPr>
  </w:style>
  <w:style w:type="character" w:customStyle="1" w:styleId="headline">
    <w:name w:val="headline"/>
    <w:basedOn w:val="DefaultParagraphFont"/>
    <w:rsid w:val="00055E3A"/>
  </w:style>
  <w:style w:type="paragraph" w:customStyle="1" w:styleId="NormalDS">
    <w:name w:val="Normal DS"/>
    <w:basedOn w:val="Normal"/>
    <w:rsid w:val="00055E3A"/>
    <w:pPr>
      <w:spacing w:after="260"/>
      <w:ind w:left="360"/>
      <w:jc w:val="left"/>
    </w:pPr>
    <w:rPr>
      <w:rFonts w:ascii="Times" w:hAnsi="Times"/>
      <w:sz w:val="23"/>
      <w:szCs w:val="20"/>
      <w:lang w:val="en-GB"/>
    </w:rPr>
  </w:style>
  <w:style w:type="paragraph" w:styleId="NoSpacing">
    <w:name w:val="No Spacing"/>
    <w:link w:val="NoSpacingChar"/>
    <w:uiPriority w:val="1"/>
    <w:qFormat/>
    <w:rsid w:val="00055E3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55E3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6F2DF6-BB40-45F7-AF64-9FE1376F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2442</Words>
  <Characters>13825</Characters>
  <Application>Microsoft Office Word</Application>
  <DocSecurity>0</DocSecurity>
  <Lines>601</Lines>
  <Paragraphs>205</Paragraphs>
  <ScaleCrop>false</ScaleCrop>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investment policies &amp; procedures (SIPP)</dc:title>
  <dc:subject>governance 2020</dc:subject>
  <dc:creator>client name</dc:creator>
  <cp:keywords/>
  <dc:description/>
  <cp:lastModifiedBy>Karee MacKay</cp:lastModifiedBy>
  <cp:revision>12</cp:revision>
  <dcterms:created xsi:type="dcterms:W3CDTF">2020-04-08T16:56:00Z</dcterms:created>
  <dcterms:modified xsi:type="dcterms:W3CDTF">2020-04-08T17:28:00Z</dcterms:modified>
</cp:coreProperties>
</file>